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5823E9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5823E9">
        <w:rPr>
          <w:rFonts w:ascii="Arial" w:hAnsi="Arial" w:cs="Arial"/>
          <w:bCs/>
          <w:i/>
          <w:iCs/>
          <w:lang/>
        </w:rPr>
        <w:t>76</w:t>
      </w:r>
      <w:proofErr w:type="gramEnd"/>
      <w:r w:rsidR="005823E9">
        <w:rPr>
          <w:rFonts w:ascii="Arial" w:hAnsi="Arial" w:cs="Arial"/>
          <w:bCs/>
          <w:i/>
          <w:iCs/>
          <w:lang/>
        </w:rPr>
        <w:t>/8-15</w:t>
      </w:r>
    </w:p>
    <w:p w:rsidR="009B03F0" w:rsidRPr="009B03F0" w:rsidRDefault="005823E9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5823E9" w:rsidRDefault="005F2B68" w:rsidP="005823E9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r w:rsidRPr="00533C51">
        <w:rPr>
          <w:rFonts w:cstheme="minorHAnsi"/>
          <w:i/>
          <w:iCs/>
        </w:rPr>
        <w:t>од</w:t>
      </w:r>
      <w:proofErr w:type="spellEnd"/>
      <w:r w:rsidRPr="00533C51">
        <w:rPr>
          <w:rFonts w:cstheme="minorHAnsi"/>
          <w:i/>
          <w:iCs/>
        </w:rPr>
        <w:t>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E7F8B"/>
    <w:rsid w:val="00402A49"/>
    <w:rsid w:val="00533C51"/>
    <w:rsid w:val="005823E9"/>
    <w:rsid w:val="005F2B68"/>
    <w:rsid w:val="00742D40"/>
    <w:rsid w:val="00784BCA"/>
    <w:rsid w:val="00817C51"/>
    <w:rsid w:val="00857319"/>
    <w:rsid w:val="009B03F0"/>
    <w:rsid w:val="00A12F19"/>
    <w:rsid w:val="00A511CC"/>
    <w:rsid w:val="00DE5181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2021-02-11T09:13:00Z</dcterms:modified>
</cp:coreProperties>
</file>