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t xml:space="preserve"> </w:t>
      </w:r>
      <w:r>
        <w:rPr/>
        <w:t xml:space="preserve">  </w:t>
      </w:r>
    </w:p>
    <w:tbl>
      <w:tblPr>
        <w:jc w:val="left"/>
        <w:tblBorders/>
      </w:tblPr>
      <w:tblGrid>
        <w:gridCol w:w="2210"/>
        <w:gridCol w:w="2987"/>
      </w:tblGrid>
      <w:tr>
        <w:trPr>
          <w:trHeight w:hRule="atLeast" w:val="531"/>
          <w:cantSplit w:val="false"/>
        </w:trPr>
        <w:tc>
          <w:tcPr>
            <w:tcW w:type="dxa" w:w="22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Светозара Милетића 55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type="dxa" w:w="2987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r>
                <w:rPr>
                  <w:rStyle w:val="style20"/>
                  <w:rStyle w:val="style20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425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7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</w:r>
          </w:p>
          <w:p>
            <w:pPr>
              <w:pStyle w:val="style0"/>
              <w:framePr w:h="1449" w:hAnchor="margin" w:hRule="exact" w:hSpace="181" w:vAnchor="margin" w:w="5406" w:wrap="around" w:x="3796" w:y="32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spacing w:after="200" w:before="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  <w:t xml:space="preserve"> </w:t>
      </w:r>
      <w:r>
        <w:rPr>
          <w:b w:val="false"/>
          <w:bCs w:val="false"/>
        </w:rPr>
        <w:t>Број:207/7-2</w:t>
      </w:r>
    </w:p>
    <w:p>
      <w:pPr>
        <w:pStyle w:val="style0"/>
        <w:ind w:hanging="0" w:left="0" w:right="0"/>
      </w:pPr>
      <w:r>
        <w:rPr>
          <w:b w:val="false"/>
          <w:bCs w:val="false"/>
        </w:rPr>
        <w:t>Датум:29.06.2016.године</w:t>
      </w:r>
    </w:p>
    <w:p>
      <w:pPr>
        <w:pStyle w:val="style0"/>
        <w:ind w:hanging="0" w:left="0" w:right="0"/>
        <w:jc w:val="center"/>
      </w:pPr>
      <w:r>
        <w:rPr>
          <w:b/>
          <w:bCs/>
        </w:rPr>
        <w:t xml:space="preserve"> </w:t>
      </w:r>
      <w:r>
        <w:rPr>
          <w:b/>
          <w:bCs/>
        </w:rPr>
        <w:t>УГОВОР</w:t>
      </w:r>
      <w:r>
        <w:rPr/>
        <w:t xml:space="preserve"> </w:t>
      </w:r>
      <w:r>
        <w:rPr>
          <w:b/>
          <w:bCs/>
        </w:rPr>
        <w:t>О КУПОПРОДАЈИ</w:t>
      </w:r>
    </w:p>
    <w:p>
      <w:pPr>
        <w:pStyle w:val="style0"/>
        <w:jc w:val="center"/>
      </w:pPr>
      <w:r>
        <w:rPr/>
        <w:t>о испоруци материјала за посебне намене на годишњем нивоу за партију бр.2 Материјал за одржавање</w:t>
      </w:r>
    </w:p>
    <w:p>
      <w:pPr>
        <w:pStyle w:val="style0"/>
        <w:jc w:val="left"/>
      </w:pPr>
      <w:r>
        <w:rPr/>
        <w:t>Закључен између:</w:t>
      </w:r>
    </w:p>
    <w:p>
      <w:pPr>
        <w:pStyle w:val="style0"/>
        <w:jc w:val="left"/>
      </w:pPr>
      <w:r>
        <w:rPr/>
        <w:t>Специјална болница за плућне болести “Др Будислав Бабић”, Бела Црква, ул.С.Милетића бр.55, порески идентификациони број : 100865891, матични број: 08031436 ,текући рачун 840-102661-23 код Управе за трезор,коју заступа в.д. директор др Љиљана Миличковић, (у даљем тексту: купац),</w:t>
      </w:r>
    </w:p>
    <w:p>
      <w:pPr>
        <w:pStyle w:val="style0"/>
        <w:jc w:val="left"/>
      </w:pPr>
      <w:r>
        <w:rPr/>
        <w:t>и</w:t>
      </w:r>
    </w:p>
    <w:p>
      <w:pPr>
        <w:pStyle w:val="style0"/>
        <w:jc w:val="left"/>
      </w:pPr>
      <w:r>
        <w:rPr/>
        <w:t>“</w:t>
      </w:r>
      <w:r>
        <w:rPr/>
        <w:t>Тргокомерц” доо, са седиштем у Вршцу, ул.М.Обилића бр.41,  порески идентификациони број : 100513398, матични број: 08569967, текући рачун 160-109484-66 код Intesa banka кога заступа директор Душан Радуловац(у даљем тексту: продавац)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1.</w:t>
      </w:r>
    </w:p>
    <w:p>
      <w:pPr>
        <w:pStyle w:val="style0"/>
        <w:jc w:val="left"/>
      </w:pPr>
      <w:r>
        <w:rPr/>
        <w:t>1.1. Уговорне стране констатују:</w:t>
      </w:r>
    </w:p>
    <w:p>
      <w:pPr>
        <w:pStyle w:val="style0"/>
        <w:jc w:val="left"/>
      </w:pPr>
      <w:r>
        <w:rPr/>
        <w:t>-да је купац, на основу члана 39. став 1. Закона о јавним набавкама („Службени гласник Републике Србије“, број 124/12.,14/15 и 68/15 – у даљем тексту: Закон), и позива за достављање понуда за испоруку материјала за посебне намене спровео јавну набавку број 5/2016.</w:t>
      </w:r>
    </w:p>
    <w:p>
      <w:pPr>
        <w:pStyle w:val="style0"/>
        <w:jc w:val="left"/>
      </w:pPr>
      <w:r>
        <w:rPr/>
        <w:t>- да је продавац 06.06.2016.године доставио понуду број 274/1 од 07.06.2016.године, која се налази у прилогу овог уговора и саставни је део овог уговора;</w:t>
      </w:r>
    </w:p>
    <w:p>
      <w:pPr>
        <w:pStyle w:val="style0"/>
        <w:jc w:val="left"/>
      </w:pPr>
      <w:r>
        <w:rPr/>
        <w:t>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уговора;</w:t>
      </w:r>
    </w:p>
    <w:p>
      <w:pPr>
        <w:pStyle w:val="style0"/>
        <w:jc w:val="left"/>
      </w:pPr>
      <w:r>
        <w:rPr/>
        <w:t>- да је купац у складу са чл. 108. Закона, на основу продавчеве понуде и одлуке о додели уговора бр.207/6-2 од 16.06.2016. година изабрао продавца за испоруку добара.</w:t>
      </w:r>
    </w:p>
    <w:p>
      <w:pPr>
        <w:pStyle w:val="style0"/>
        <w:jc w:val="center"/>
      </w:pPr>
      <w:r>
        <w:rPr>
          <w:b/>
          <w:bCs/>
        </w:rPr>
        <w:t>Члан 2.</w:t>
      </w:r>
    </w:p>
    <w:p>
      <w:pPr>
        <w:pStyle w:val="style0"/>
        <w:jc w:val="left"/>
      </w:pPr>
      <w:r>
        <w:rPr>
          <w:b w:val="false"/>
          <w:bCs w:val="false"/>
        </w:rPr>
        <w:t xml:space="preserve">2.1. Предмет уговора је сукцесивна испорука </w:t>
      </w:r>
      <w:r>
        <w:rPr/>
        <w:t>материјала за посебне намене-технички материјал – Партија бр.2 – Материјал за одржавање за потребе Специјалне болнице за плућне болести “Др Будислав Бабић” Бела Црква, у свему као у обрасцу техничких спецификација, са јединичним ценама које су саставни део понуде продавца.</w:t>
      </w:r>
    </w:p>
    <w:p>
      <w:pPr>
        <w:pStyle w:val="style0"/>
        <w:jc w:val="center"/>
      </w:pPr>
      <w:r>
        <w:rPr>
          <w:b/>
          <w:bCs/>
        </w:rPr>
        <w:t>Члан 3.</w:t>
      </w:r>
    </w:p>
    <w:p>
      <w:pPr>
        <w:pStyle w:val="style0"/>
        <w:jc w:val="left"/>
      </w:pPr>
      <w:r>
        <w:rPr/>
        <w:t>3.1. Укупна уговорена вредност добра за партију бр. 2 – Материјал за одржавање  износи 57.606,00 динара (без ПДВ-а) и 69.127 ,20 динара (са ПДВ-ом).</w:t>
      </w:r>
    </w:p>
    <w:p>
      <w:pPr>
        <w:pStyle w:val="style0"/>
        <w:jc w:val="left"/>
      </w:pPr>
      <w:r>
        <w:rPr/>
        <w:t>3.2. Јединичне цене су фиксне и могу се изменити само уколико у току реализације уговора дође до општег раста потрошачких цена у Републици Србији за више од 10%.</w:t>
      </w:r>
    </w:p>
    <w:p>
      <w:pPr>
        <w:pStyle w:val="style0"/>
        <w:jc w:val="left"/>
      </w:pPr>
      <w:r>
        <w:rPr/>
        <w:t>3.3. У случају стицаја околности из става 3.2. купац задржава право промене уговорене цене за онолико процентних поена за колико општи раст потрошачких цена прелази ниво од 10%.</w:t>
      </w:r>
    </w:p>
    <w:p>
      <w:pPr>
        <w:pStyle w:val="style0"/>
        <w:jc w:val="center"/>
      </w:pPr>
      <w:r>
        <w:rPr>
          <w:b/>
          <w:bCs/>
        </w:rPr>
        <w:t>Члан 4.</w:t>
      </w:r>
    </w:p>
    <w:p>
      <w:pPr>
        <w:pStyle w:val="style0"/>
        <w:jc w:val="left"/>
      </w:pPr>
      <w:r>
        <w:rPr/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>
      <w:pPr>
        <w:pStyle w:val="style0"/>
        <w:jc w:val="left"/>
      </w:pPr>
      <w:r>
        <w:rPr/>
        <w:t>4.2. Ако се записнички утврди да добра која је продавац испоручио купцу имају недостатке у квалитету и очигледних грешака, продавац мора исте отклонити најкасније у року од 3 дана од дана сачињавања записника о рекламацији, а уколико то не учини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5.</w:t>
      </w:r>
    </w:p>
    <w:p>
      <w:pPr>
        <w:pStyle w:val="style0"/>
        <w:jc w:val="left"/>
      </w:pPr>
      <w:r>
        <w:rPr/>
        <w:t>5.1. Продавац је дужан да купцу испоручује добра сукцесивно, у року од 24 часова (максимално 24часа).</w:t>
      </w:r>
    </w:p>
    <w:p>
      <w:pPr>
        <w:pStyle w:val="style0"/>
        <w:jc w:val="left"/>
      </w:pPr>
      <w:r>
        <w:rPr/>
        <w:t>5.2. Место испоруке је магацин зграде Специјалне болнице.</w:t>
      </w:r>
    </w:p>
    <w:p>
      <w:pPr>
        <w:pStyle w:val="style0"/>
        <w:jc w:val="left"/>
      </w:pPr>
      <w:r>
        <w:rPr/>
        <w:t>5.3. Сматра се да је извршена адекватна испорука када овлашћено лице купца у месту испоруке изврши квалитативан и количински пријем, што се потврђује записником, који потписују присутна овлашћена лица продавца и купца.</w:t>
      </w:r>
    </w:p>
    <w:p>
      <w:pPr>
        <w:pStyle w:val="style0"/>
        <w:jc w:val="center"/>
      </w:pPr>
      <w:r>
        <w:rPr>
          <w:b/>
          <w:bCs/>
        </w:rPr>
        <w:t>Члан 6.</w:t>
      </w:r>
    </w:p>
    <w:p>
      <w:pPr>
        <w:pStyle w:val="style0"/>
        <w:jc w:val="left"/>
      </w:pPr>
      <w:r>
        <w:rPr/>
        <w:t>6.1. Достављена фактура купцу, представља основ за плаћање уговорне цене.</w:t>
      </w:r>
    </w:p>
    <w:p>
      <w:pPr>
        <w:pStyle w:val="style0"/>
        <w:jc w:val="left"/>
      </w:pPr>
      <w:r>
        <w:rPr/>
        <w:t>6.2. Купац се обавезује да у року од 45 дана од пријема исправно испостављене фактуре по преузимању добара плати цену за испоручена добра на рачун продавца број 106-109484-66 код Intesa банке.</w:t>
      </w:r>
    </w:p>
    <w:p>
      <w:pPr>
        <w:pStyle w:val="style0"/>
        <w:jc w:val="left"/>
      </w:pPr>
      <w:r>
        <w:rPr/>
        <w:t>6.3. У случају прекорачења рокова из клаузуле 6.2. овог уговора, купац дугује продавцу и износ законске затезне камате.</w:t>
      </w:r>
    </w:p>
    <w:p>
      <w:pPr>
        <w:pStyle w:val="style0"/>
        <w:jc w:val="center"/>
      </w:pPr>
      <w:r>
        <w:rPr>
          <w:b/>
          <w:bCs/>
        </w:rPr>
        <w:t>Члан 7.</w:t>
      </w:r>
    </w:p>
    <w:p>
      <w:pPr>
        <w:pStyle w:val="style0"/>
        <w:jc w:val="left"/>
      </w:pPr>
      <w:r>
        <w:rPr/>
        <w:t>7.1. Гарантни рок је рок прихваћен у понуди продавца, износи 365 дана и почиње да тече од дана када је записнички констатовано преузимање добара.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Члан 8.</w:t>
      </w:r>
    </w:p>
    <w:p>
      <w:pPr>
        <w:pStyle w:val="style0"/>
        <w:jc w:val="left"/>
      </w:pPr>
      <w:r>
        <w:rPr/>
        <w:t>8.1. Уколико наручена добра не буду испоручена у складу са одредбама овог уговора, купац може раскинути уговор.</w:t>
      </w:r>
    </w:p>
    <w:p>
      <w:pPr>
        <w:pStyle w:val="style0"/>
        <w:jc w:val="center"/>
      </w:pPr>
      <w:r>
        <w:rPr>
          <w:b/>
          <w:bCs/>
        </w:rPr>
        <w:t>Члан 9.</w:t>
      </w:r>
    </w:p>
    <w:p>
      <w:pPr>
        <w:pStyle w:val="style0"/>
        <w:jc w:val="left"/>
      </w:pPr>
      <w:r>
        <w:rPr/>
        <w:t>9.1. Све евентуалне спорове који настану из, или поводом, овог уговора – уговорне стране ће покушати да реше споразумно.</w:t>
      </w:r>
    </w:p>
    <w:p>
      <w:pPr>
        <w:pStyle w:val="style0"/>
        <w:jc w:val="left"/>
      </w:pPr>
      <w:r>
        <w:rPr/>
        <w:t>9.2. Уколико спорови између купца и продавца не буду решени споразумно, уговара се надлежност Привредног суда у Панчеву.</w:t>
      </w:r>
    </w:p>
    <w:p>
      <w:pPr>
        <w:pStyle w:val="style0"/>
        <w:jc w:val="center"/>
      </w:pPr>
      <w:r>
        <w:rPr>
          <w:b/>
          <w:bCs/>
        </w:rPr>
        <w:t>Члан 10.</w:t>
      </w:r>
    </w:p>
    <w:p>
      <w:pPr>
        <w:pStyle w:val="style0"/>
        <w:jc w:val="left"/>
      </w:pPr>
      <w:r>
        <w:rPr/>
        <w:t>10.1. На све што није регулисано клаузулама овог уговора, примениће се одредбе Закона о облигационим односима и Закона о јавним набавкама.</w:t>
      </w:r>
    </w:p>
    <w:p>
      <w:pPr>
        <w:pStyle w:val="style0"/>
        <w:jc w:val="left"/>
      </w:pPr>
      <w:r>
        <w:rPr/>
        <w:t>10.2.Уговор се закључује на период до 12 месеци, односно до испуњења уговорене вредности утврђене чланом 3. став 3.1 овог уговора, у зависности од тога који услов пре наступи.</w:t>
      </w:r>
    </w:p>
    <w:p>
      <w:pPr>
        <w:pStyle w:val="style0"/>
        <w:jc w:val="left"/>
      </w:pPr>
      <w:r>
        <w:rPr/>
        <w:t>10.3 Обавезе које доспевају у наредмој буџетској години биће реализоване највише до износа средстава која ће им за ту намену бити одобрена у тој буџетској години.</w:t>
      </w:r>
    </w:p>
    <w:p>
      <w:pPr>
        <w:pStyle w:val="style0"/>
        <w:jc w:val="left"/>
      </w:pPr>
      <w:r>
        <w:rPr/>
        <w:t>10.4. Продавац се обавезује да депонује по један узорак артикла из прихваћене понуде.</w:t>
      </w:r>
    </w:p>
    <w:p>
      <w:pPr>
        <w:pStyle w:val="style0"/>
        <w:jc w:val="left"/>
      </w:pPr>
      <w:r>
        <w:rPr/>
        <w:t>10.5. Овај уговор је сачињен у 4 (четири) истоветнх примерака, по 2 (два) примерка за обе уговорне стране.</w:t>
      </w:r>
    </w:p>
    <w:p>
      <w:pPr>
        <w:pStyle w:val="style0"/>
        <w:jc w:val="left"/>
      </w:pPr>
      <w:r>
        <w:rPr/>
        <w:t>10.6.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>
      <w:pPr>
        <w:pStyle w:val="style0"/>
        <w:spacing w:after="200" w:before="0"/>
        <w:jc w:val="left"/>
      </w:pPr>
      <w:r>
        <w:rPr/>
        <w:t xml:space="preserve"> </w:t>
      </w:r>
      <w:r>
        <w:rPr/>
        <w:t>КУПАЦ                                                                                                                    ПРОДАВАЦ   в.д. Директор:                                                                                                        Директор: дрЉиљана Миличковић                                                                                 Душан Радуловац</w:t>
      </w:r>
    </w:p>
    <w:sectPr>
      <w:footerReference r:id="rId4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294912" w:linePitch="16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0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4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character">
    <w:name w:val="ListLabel 23"/>
    <w:next w:val="style44"/>
    <w:rPr>
      <w:rFonts w:cs="Symbol"/>
    </w:rPr>
  </w:style>
  <w:style w:styleId="style45" w:type="character">
    <w:name w:val="ListLabel 24"/>
    <w:next w:val="style45"/>
    <w:rPr>
      <w:rFonts w:cs="OpenSymbol"/>
    </w:rPr>
  </w:style>
  <w:style w:styleId="style46" w:type="character">
    <w:name w:val="ListLabel 25"/>
    <w:next w:val="style46"/>
    <w:rPr>
      <w:rFonts w:cs="Symbol"/>
    </w:rPr>
  </w:style>
  <w:style w:styleId="style47" w:type="character">
    <w:name w:val="ListLabel 26"/>
    <w:next w:val="style47"/>
    <w:rPr>
      <w:rFonts w:cs="OpenSymbol"/>
    </w:rPr>
  </w:style>
  <w:style w:styleId="style48" w:type="character">
    <w:name w:val="ListLabel 27"/>
    <w:next w:val="style48"/>
    <w:rPr>
      <w:rFonts w:cs="Symbol"/>
    </w:rPr>
  </w:style>
  <w:style w:styleId="style49" w:type="character">
    <w:name w:val="ListLabel 28"/>
    <w:next w:val="style49"/>
    <w:rPr>
      <w:rFonts w:cs="OpenSymbol"/>
    </w:rPr>
  </w:style>
  <w:style w:styleId="style50" w:type="character">
    <w:name w:val="ListLabel 29"/>
    <w:next w:val="style50"/>
    <w:rPr>
      <w:rFonts w:cs="Symbol"/>
    </w:rPr>
  </w:style>
  <w:style w:styleId="style51" w:type="character">
    <w:name w:val="ListLabel 30"/>
    <w:next w:val="style51"/>
    <w:rPr>
      <w:rFonts w:cs="OpenSymbol"/>
    </w:rPr>
  </w:style>
  <w:style w:styleId="style52" w:type="character">
    <w:name w:val="ListLabel 31"/>
    <w:next w:val="style52"/>
    <w:rPr>
      <w:rFonts w:cs="Symbol"/>
    </w:rPr>
  </w:style>
  <w:style w:styleId="style53" w:type="character">
    <w:name w:val="ListLabel 32"/>
    <w:next w:val="style53"/>
    <w:rPr>
      <w:rFonts w:cs="OpenSymbol"/>
    </w:rPr>
  </w:style>
  <w:style w:styleId="style54" w:type="character">
    <w:name w:val="ListLabel 33"/>
    <w:next w:val="style54"/>
    <w:rPr>
      <w:rFonts w:cs="Symbol"/>
    </w:rPr>
  </w:style>
  <w:style w:styleId="style55" w:type="character">
    <w:name w:val="ListLabel 34"/>
    <w:next w:val="style55"/>
    <w:rPr>
      <w:rFonts w:cs="OpenSymbol"/>
    </w:rPr>
  </w:style>
  <w:style w:styleId="style56" w:type="character">
    <w:name w:val="ListLabel 35"/>
    <w:next w:val="style56"/>
    <w:rPr>
      <w:rFonts w:cs="Symbol"/>
    </w:rPr>
  </w:style>
  <w:style w:styleId="style57" w:type="character">
    <w:name w:val="ListLabel 36"/>
    <w:next w:val="style57"/>
    <w:rPr>
      <w:rFonts w:cs="OpenSymbol"/>
    </w:rPr>
  </w:style>
  <w:style w:styleId="style58" w:type="character">
    <w:name w:val="ListLabel 37"/>
    <w:next w:val="style58"/>
    <w:rPr>
      <w:rFonts w:cs="Symbol"/>
    </w:rPr>
  </w:style>
  <w:style w:styleId="style59" w:type="character">
    <w:name w:val="ListLabel 38"/>
    <w:next w:val="style59"/>
    <w:rPr>
      <w:rFonts w:cs="OpenSymbol"/>
    </w:rPr>
  </w:style>
  <w:style w:styleId="style60" w:type="character">
    <w:name w:val="ListLabel 39"/>
    <w:next w:val="style60"/>
    <w:rPr>
      <w:rFonts w:cs="Symbol"/>
    </w:rPr>
  </w:style>
  <w:style w:styleId="style61" w:type="character">
    <w:name w:val="ListLabel 40"/>
    <w:next w:val="style61"/>
    <w:rPr>
      <w:rFonts w:cs="OpenSymbol"/>
    </w:rPr>
  </w:style>
  <w:style w:styleId="style62" w:type="character">
    <w:name w:val="ListLabel 41"/>
    <w:next w:val="style62"/>
    <w:rPr>
      <w:rFonts w:cs="Symbol"/>
    </w:rPr>
  </w:style>
  <w:style w:styleId="style63" w:type="character">
    <w:name w:val="ListLabel 42"/>
    <w:next w:val="style63"/>
    <w:rPr>
      <w:rFonts w:cs="OpenSymbol"/>
    </w:rPr>
  </w:style>
  <w:style w:styleId="style64" w:type="character">
    <w:name w:val="ListLabel 43"/>
    <w:next w:val="style64"/>
    <w:rPr>
      <w:rFonts w:cs="Symbol"/>
    </w:rPr>
  </w:style>
  <w:style w:styleId="style65" w:type="character">
    <w:name w:val="ListLabel 44"/>
    <w:next w:val="style65"/>
    <w:rPr>
      <w:rFonts w:cs="OpenSymbol"/>
    </w:rPr>
  </w:style>
  <w:style w:styleId="style66" w:type="character">
    <w:name w:val="ListLabel 45"/>
    <w:next w:val="style66"/>
    <w:rPr>
      <w:rFonts w:cs="Symbol"/>
    </w:rPr>
  </w:style>
  <w:style w:styleId="style67" w:type="character">
    <w:name w:val="ListLabel 46"/>
    <w:next w:val="style67"/>
    <w:rPr>
      <w:rFonts w:cs="OpenSymbol"/>
    </w:rPr>
  </w:style>
  <w:style w:styleId="style68" w:type="character">
    <w:name w:val="ListLabel 47"/>
    <w:next w:val="style68"/>
    <w:rPr>
      <w:rFonts w:cs="Symbol"/>
    </w:rPr>
  </w:style>
  <w:style w:styleId="style69" w:type="character">
    <w:name w:val="ListLabel 48"/>
    <w:next w:val="style69"/>
    <w:rPr>
      <w:rFonts w:cs="OpenSymbol"/>
    </w:rPr>
  </w:style>
  <w:style w:styleId="style70" w:type="character">
    <w:name w:val="ListLabel 49"/>
    <w:next w:val="style70"/>
    <w:rPr>
      <w:rFonts w:cs="Symbol"/>
    </w:rPr>
  </w:style>
  <w:style w:styleId="style71" w:type="character">
    <w:name w:val="ListLabel 50"/>
    <w:next w:val="style71"/>
    <w:rPr>
      <w:rFonts w:cs="OpenSymbol"/>
    </w:rPr>
  </w:style>
  <w:style w:styleId="style72" w:type="character">
    <w:name w:val="ListLabel 51"/>
    <w:next w:val="style72"/>
    <w:rPr>
      <w:rFonts w:cs="Symbol"/>
    </w:rPr>
  </w:style>
  <w:style w:styleId="style73" w:type="character">
    <w:name w:val="ListLabel 52"/>
    <w:next w:val="style73"/>
    <w:rPr>
      <w:rFonts w:cs="OpenSymbol"/>
    </w:rPr>
  </w:style>
  <w:style w:styleId="style74" w:type="character">
    <w:name w:val="ListLabel 53"/>
    <w:next w:val="style74"/>
    <w:rPr>
      <w:rFonts w:cs="Symbol"/>
    </w:rPr>
  </w:style>
  <w:style w:styleId="style75" w:type="character">
    <w:name w:val="ListLabel 54"/>
    <w:next w:val="style75"/>
    <w:rPr>
      <w:rFonts w:cs="OpenSymbol"/>
    </w:rPr>
  </w:style>
  <w:style w:styleId="style76" w:type="character">
    <w:name w:val="ListLabel 55"/>
    <w:next w:val="style76"/>
    <w:rPr>
      <w:rFonts w:cs="Symbol"/>
    </w:rPr>
  </w:style>
  <w:style w:styleId="style77" w:type="character">
    <w:name w:val="ListLabel 56"/>
    <w:next w:val="style77"/>
    <w:rPr>
      <w:rFonts w:cs="OpenSymbol"/>
    </w:rPr>
  </w:style>
  <w:style w:styleId="style78" w:type="character">
    <w:name w:val="ListLabel 57"/>
    <w:next w:val="style78"/>
    <w:rPr>
      <w:rFonts w:cs="Symbol"/>
    </w:rPr>
  </w:style>
  <w:style w:styleId="style79" w:type="character">
    <w:name w:val="ListLabel 58"/>
    <w:next w:val="style79"/>
    <w:rPr>
      <w:rFonts w:cs="OpenSymbol"/>
    </w:rPr>
  </w:style>
  <w:style w:styleId="style80" w:type="character">
    <w:name w:val="ListLabel 59"/>
    <w:next w:val="style80"/>
    <w:rPr>
      <w:rFonts w:cs="Symbol"/>
    </w:rPr>
  </w:style>
  <w:style w:styleId="style81" w:type="character">
    <w:name w:val="ListLabel 60"/>
    <w:next w:val="style81"/>
    <w:rPr>
      <w:rFonts w:cs="OpenSymbol"/>
    </w:rPr>
  </w:style>
  <w:style w:styleId="style82" w:type="character">
    <w:name w:val="ListLabel 61"/>
    <w:next w:val="style82"/>
    <w:rPr>
      <w:rFonts w:cs="Symbol"/>
    </w:rPr>
  </w:style>
  <w:style w:styleId="style83" w:type="character">
    <w:name w:val="ListLabel 62"/>
    <w:next w:val="style83"/>
    <w:rPr>
      <w:rFonts w:cs="OpenSymbol"/>
    </w:rPr>
  </w:style>
  <w:style w:styleId="style84" w:type="character">
    <w:name w:val="ListLabel 63"/>
    <w:next w:val="style84"/>
    <w:rPr>
      <w:rFonts w:cs="Symbol"/>
    </w:rPr>
  </w:style>
  <w:style w:styleId="style85" w:type="character">
    <w:name w:val="ListLabel 64"/>
    <w:next w:val="style85"/>
    <w:rPr>
      <w:rFonts w:cs="OpenSymbol"/>
    </w:rPr>
  </w:style>
  <w:style w:styleId="style86" w:type="character">
    <w:name w:val="ListLabel 65"/>
    <w:next w:val="style86"/>
    <w:rPr>
      <w:rFonts w:cs="Symbol"/>
    </w:rPr>
  </w:style>
  <w:style w:styleId="style87" w:type="character">
    <w:name w:val="ListLabel 66"/>
    <w:next w:val="style87"/>
    <w:rPr>
      <w:rFonts w:cs="OpenSymbol"/>
    </w:rPr>
  </w:style>
  <w:style w:styleId="style88" w:type="character">
    <w:name w:val="ListLabel 67"/>
    <w:next w:val="style88"/>
    <w:rPr>
      <w:rFonts w:cs="Symbol"/>
    </w:rPr>
  </w:style>
  <w:style w:styleId="style89" w:type="character">
    <w:name w:val="ListLabel 68"/>
    <w:next w:val="style89"/>
    <w:rPr>
      <w:rFonts w:cs="OpenSymbol"/>
    </w:rPr>
  </w:style>
  <w:style w:styleId="style90" w:type="character">
    <w:name w:val="ListLabel 69"/>
    <w:next w:val="style90"/>
    <w:rPr>
      <w:rFonts w:cs="Symbol"/>
    </w:rPr>
  </w:style>
  <w:style w:styleId="style91" w:type="character">
    <w:name w:val="ListLabel 70"/>
    <w:next w:val="style91"/>
    <w:rPr>
      <w:rFonts w:cs="OpenSymbol"/>
    </w:rPr>
  </w:style>
  <w:style w:styleId="style92" w:type="character">
    <w:name w:val="ListLabel 71"/>
    <w:next w:val="style92"/>
    <w:rPr>
      <w:rFonts w:cs="Symbol"/>
    </w:rPr>
  </w:style>
  <w:style w:styleId="style93" w:type="character">
    <w:name w:val="ListLabel 72"/>
    <w:next w:val="style93"/>
    <w:rPr>
      <w:rFonts w:cs="OpenSymbol"/>
    </w:rPr>
  </w:style>
  <w:style w:styleId="style94" w:type="character">
    <w:name w:val="ListLabel 73"/>
    <w:next w:val="style94"/>
    <w:rPr>
      <w:rFonts w:cs="Symbol"/>
    </w:rPr>
  </w:style>
  <w:style w:styleId="style95" w:type="character">
    <w:name w:val="ListLabel 74"/>
    <w:next w:val="style95"/>
    <w:rPr>
      <w:rFonts w:cs="OpenSymbol"/>
    </w:rPr>
  </w:style>
  <w:style w:styleId="style96" w:type="character">
    <w:name w:val="ListLabel 75"/>
    <w:next w:val="style96"/>
    <w:rPr>
      <w:rFonts w:cs="Symbol"/>
    </w:rPr>
  </w:style>
  <w:style w:styleId="style97" w:type="character">
    <w:name w:val="ListLabel 76"/>
    <w:next w:val="style97"/>
    <w:rPr>
      <w:rFonts w:cs="OpenSymbol"/>
    </w:rPr>
  </w:style>
  <w:style w:styleId="style98" w:type="character">
    <w:name w:val="ListLabel 77"/>
    <w:next w:val="style98"/>
    <w:rPr>
      <w:rFonts w:cs="Symbol"/>
    </w:rPr>
  </w:style>
  <w:style w:styleId="style99" w:type="character">
    <w:name w:val="ListLabel 78"/>
    <w:next w:val="style99"/>
    <w:rPr>
      <w:rFonts w:cs="OpenSymbol"/>
    </w:rPr>
  </w:style>
  <w:style w:styleId="style100" w:type="character">
    <w:name w:val="ListLabel 79"/>
    <w:next w:val="style100"/>
    <w:rPr>
      <w:rFonts w:cs="Symbol"/>
    </w:rPr>
  </w:style>
  <w:style w:styleId="style101" w:type="character">
    <w:name w:val="ListLabel 80"/>
    <w:next w:val="style101"/>
    <w:rPr>
      <w:rFonts w:cs="OpenSymbol"/>
    </w:rPr>
  </w:style>
  <w:style w:styleId="style102" w:type="character">
    <w:name w:val="ListLabel 81"/>
    <w:next w:val="style102"/>
    <w:rPr>
      <w:rFonts w:cs="Symbol"/>
    </w:rPr>
  </w:style>
  <w:style w:styleId="style103" w:type="character">
    <w:name w:val="ListLabel 82"/>
    <w:next w:val="style103"/>
    <w:rPr>
      <w:rFonts w:cs="OpenSymbol"/>
    </w:rPr>
  </w:style>
  <w:style w:styleId="style104" w:type="character">
    <w:name w:val="ListLabel 83"/>
    <w:next w:val="style104"/>
    <w:rPr>
      <w:rFonts w:cs="Symbol"/>
    </w:rPr>
  </w:style>
  <w:style w:styleId="style105" w:type="character">
    <w:name w:val="ListLabel 84"/>
    <w:next w:val="style105"/>
    <w:rPr>
      <w:rFonts w:cs="OpenSymbol"/>
    </w:rPr>
  </w:style>
  <w:style w:styleId="style106" w:type="character">
    <w:name w:val="ListLabel 85"/>
    <w:next w:val="style106"/>
    <w:rPr>
      <w:rFonts w:cs="Symbol"/>
    </w:rPr>
  </w:style>
  <w:style w:styleId="style107" w:type="character">
    <w:name w:val="ListLabel 86"/>
    <w:next w:val="style107"/>
    <w:rPr>
      <w:rFonts w:cs="OpenSymbol"/>
    </w:rPr>
  </w:style>
  <w:style w:styleId="style108" w:type="character">
    <w:name w:val="ListLabel 87"/>
    <w:next w:val="style108"/>
    <w:rPr>
      <w:rFonts w:cs="Symbol"/>
    </w:rPr>
  </w:style>
  <w:style w:styleId="style109" w:type="character">
    <w:name w:val="ListLabel 88"/>
    <w:next w:val="style109"/>
    <w:rPr>
      <w:rFonts w:cs="OpenSymbol"/>
    </w:rPr>
  </w:style>
  <w:style w:styleId="style110" w:type="character">
    <w:name w:val="ListLabel 89"/>
    <w:next w:val="style110"/>
    <w:rPr>
      <w:rFonts w:cs="Symbol"/>
    </w:rPr>
  </w:style>
  <w:style w:styleId="style111" w:type="character">
    <w:name w:val="ListLabel 90"/>
    <w:next w:val="style111"/>
    <w:rPr>
      <w:rFonts w:cs="OpenSymbol"/>
    </w:rPr>
  </w:style>
  <w:style w:styleId="style112" w:type="character">
    <w:name w:val="ListLabel 91"/>
    <w:next w:val="style112"/>
    <w:rPr>
      <w:rFonts w:cs="Symbol"/>
    </w:rPr>
  </w:style>
  <w:style w:styleId="style113" w:type="character">
    <w:name w:val="ListLabel 92"/>
    <w:next w:val="style113"/>
    <w:rPr>
      <w:rFonts w:cs="OpenSymbol"/>
    </w:rPr>
  </w:style>
  <w:style w:styleId="style114" w:type="character">
    <w:name w:val="ListLabel 93"/>
    <w:next w:val="style114"/>
    <w:rPr>
      <w:rFonts w:cs="Symbol"/>
    </w:rPr>
  </w:style>
  <w:style w:styleId="style115" w:type="character">
    <w:name w:val="ListLabel 94"/>
    <w:next w:val="style115"/>
    <w:rPr>
      <w:rFonts w:cs="OpenSymbol"/>
    </w:rPr>
  </w:style>
  <w:style w:styleId="style116" w:type="character">
    <w:name w:val="ListLabel 95"/>
    <w:next w:val="style116"/>
    <w:rPr>
      <w:rFonts w:cs="Symbol"/>
    </w:rPr>
  </w:style>
  <w:style w:styleId="style117" w:type="character">
    <w:name w:val="ListLabel 96"/>
    <w:next w:val="style117"/>
    <w:rPr>
      <w:rFonts w:cs="OpenSymbol"/>
    </w:rPr>
  </w:style>
  <w:style w:styleId="style118" w:type="character">
    <w:name w:val="ListLabel 97"/>
    <w:next w:val="style118"/>
    <w:rPr>
      <w:rFonts w:cs="Symbol"/>
    </w:rPr>
  </w:style>
  <w:style w:styleId="style119" w:type="character">
    <w:name w:val="ListLabel 98"/>
    <w:next w:val="style119"/>
    <w:rPr>
      <w:rFonts w:cs="OpenSymbol"/>
    </w:rPr>
  </w:style>
  <w:style w:styleId="style120" w:type="character">
    <w:name w:val="ListLabel 99"/>
    <w:next w:val="style120"/>
    <w:rPr>
      <w:rFonts w:cs="Symbol"/>
    </w:rPr>
  </w:style>
  <w:style w:styleId="style121" w:type="character">
    <w:name w:val="ListLabel 100"/>
    <w:next w:val="style121"/>
    <w:rPr>
      <w:rFonts w:cs="OpenSymbol"/>
    </w:rPr>
  </w:style>
  <w:style w:styleId="style122" w:type="character">
    <w:name w:val="ListLabel 101"/>
    <w:next w:val="style122"/>
    <w:rPr>
      <w:rFonts w:cs="Symbol"/>
    </w:rPr>
  </w:style>
  <w:style w:styleId="style123" w:type="character">
    <w:name w:val="ListLabel 102"/>
    <w:next w:val="style123"/>
    <w:rPr>
      <w:rFonts w:cs="OpenSymbol"/>
    </w:rPr>
  </w:style>
  <w:style w:styleId="style124" w:type="character">
    <w:name w:val="ListLabel 103"/>
    <w:next w:val="style124"/>
    <w:rPr>
      <w:rFonts w:cs="Symbol"/>
    </w:rPr>
  </w:style>
  <w:style w:styleId="style125" w:type="character">
    <w:name w:val="ListLabel 104"/>
    <w:next w:val="style125"/>
    <w:rPr>
      <w:rFonts w:cs="OpenSymbol"/>
    </w:rPr>
  </w:style>
  <w:style w:styleId="style126" w:type="character">
    <w:name w:val="ListLabel 105"/>
    <w:next w:val="style126"/>
    <w:rPr>
      <w:rFonts w:cs="Symbol"/>
    </w:rPr>
  </w:style>
  <w:style w:styleId="style127" w:type="character">
    <w:name w:val="ListLabel 106"/>
    <w:next w:val="style127"/>
    <w:rPr>
      <w:rFonts w:cs="OpenSymbol"/>
    </w:rPr>
  </w:style>
  <w:style w:styleId="style128" w:type="character">
    <w:name w:val="ListLabel 107"/>
    <w:next w:val="style128"/>
    <w:rPr>
      <w:rFonts w:cs="Symbol"/>
    </w:rPr>
  </w:style>
  <w:style w:styleId="style129" w:type="character">
    <w:name w:val="ListLabel 108"/>
    <w:next w:val="style129"/>
    <w:rPr>
      <w:rFonts w:cs="OpenSymbol"/>
    </w:rPr>
  </w:style>
  <w:style w:styleId="style130" w:type="character">
    <w:name w:val="ListLabel 109"/>
    <w:next w:val="style130"/>
    <w:rPr>
      <w:rFonts w:cs="Symbol"/>
    </w:rPr>
  </w:style>
  <w:style w:styleId="style131" w:type="character">
    <w:name w:val="ListLabel 110"/>
    <w:next w:val="style131"/>
    <w:rPr>
      <w:rFonts w:cs="OpenSymbol"/>
    </w:rPr>
  </w:style>
  <w:style w:styleId="style132" w:type="paragraph">
    <w:name w:val="Heading"/>
    <w:basedOn w:val="style0"/>
    <w:next w:val="style13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3" w:type="paragraph">
    <w:name w:val="Text body"/>
    <w:basedOn w:val="style0"/>
    <w:next w:val="style133"/>
    <w:pPr>
      <w:spacing w:after="120" w:before="0"/>
    </w:pPr>
    <w:rPr/>
  </w:style>
  <w:style w:styleId="style134" w:type="paragraph">
    <w:name w:val="List"/>
    <w:basedOn w:val="style133"/>
    <w:next w:val="style134"/>
    <w:pPr/>
    <w:rPr>
      <w:rFonts w:cs="Lohit Hindi"/>
    </w:rPr>
  </w:style>
  <w:style w:styleId="style135" w:type="paragraph">
    <w:name w:val="Caption"/>
    <w:basedOn w:val="style0"/>
    <w:next w:val="style1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6" w:type="paragraph">
    <w:name w:val="Index"/>
    <w:basedOn w:val="style0"/>
    <w:next w:val="style136"/>
    <w:pPr>
      <w:suppressLineNumbers/>
    </w:pPr>
    <w:rPr>
      <w:rFonts w:cs="Lohit Hindi"/>
    </w:rPr>
  </w:style>
  <w:style w:styleId="style137" w:type="paragraph">
    <w:name w:val="caption"/>
    <w:basedOn w:val="style0"/>
    <w:next w:val="style1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8" w:type="paragraph">
    <w:name w:val="List Paragraph"/>
    <w:basedOn w:val="style0"/>
    <w:next w:val="style138"/>
    <w:pPr>
      <w:ind w:hanging="0" w:left="720" w:right="0"/>
    </w:pPr>
    <w:rPr/>
  </w:style>
  <w:style w:styleId="style139" w:type="paragraph">
    <w:name w:val="Header"/>
    <w:basedOn w:val="style0"/>
    <w:next w:val="style139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0" w:type="paragraph">
    <w:name w:val="Footer"/>
    <w:basedOn w:val="style0"/>
    <w:next w:val="style140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141" w:type="paragraph">
    <w:name w:val="Balloon Text"/>
    <w:basedOn w:val="style0"/>
    <w:next w:val="style141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142" w:type="paragraph">
    <w:name w:val="Table Contents"/>
    <w:basedOn w:val="style0"/>
    <w:next w:val="style142"/>
    <w:pPr>
      <w:suppressLineNumbers/>
    </w:pPr>
    <w:rPr/>
  </w:style>
  <w:style w:styleId="style143" w:type="paragraph">
    <w:name w:val="Frame contents"/>
    <w:basedOn w:val="style133"/>
    <w:next w:val="style143"/>
    <w:pPr/>
    <w:rPr/>
  </w:style>
  <w:style w:styleId="style144" w:type="paragraph">
    <w:name w:val="Table Heading"/>
    <w:basedOn w:val="style142"/>
    <w:next w:val="style14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hyperlink" Target="mailto:tenderi@spbbelacrkva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Obracunac</cp:lastModifiedBy>
  <cp:lastPrinted>2015-06-01T10:50:36.00Z</cp:lastPrinted>
  <dcterms:modified xsi:type="dcterms:W3CDTF">2015-03-20T12:24:00.00Z</dcterms:modified>
  <cp:revision>57</cp:revision>
</cp:coreProperties>
</file>