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/>
        <w:t>СПЕЦИЈАЛНА БОЛНИЦА ЗА ПЛУЋНЕ БОЛЕСТИ</w:t>
      </w:r>
    </w:p>
    <w:p>
      <w:pPr>
        <w:pStyle w:val="style0"/>
      </w:pPr>
      <w:r>
        <w:rPr/>
        <w:t>“</w:t>
      </w:r>
      <w:r>
        <w:rPr/>
        <w:t>Др БУДИСЛАВ БАБИЋ” БЕЛА ЦРКВА</w:t>
      </w:r>
    </w:p>
    <w:p>
      <w:pPr>
        <w:pStyle w:val="style0"/>
      </w:pPr>
      <w:r>
        <w:rPr/>
        <w:t>ул.СВЕТОЗАРА МИЛЕТИЋА бр.55</w:t>
      </w:r>
    </w:p>
    <w:p>
      <w:pPr>
        <w:pStyle w:val="style0"/>
      </w:pPr>
      <w:r>
        <w:rPr/>
        <w:t>БРОЈ</w:t>
      </w:r>
      <w:r>
        <w:rPr>
          <w:lang w:val="sr-RS"/>
        </w:rPr>
        <w:t xml:space="preserve"> :</w:t>
      </w:r>
      <w:r>
        <w:rPr/>
        <w:t xml:space="preserve"> </w:t>
      </w:r>
      <w:r>
        <w:rPr>
          <w:lang w:val="sr-RS"/>
        </w:rPr>
        <w:t>222/7-3</w:t>
      </w:r>
    </w:p>
    <w:p>
      <w:pPr>
        <w:pStyle w:val="style0"/>
      </w:pPr>
      <w:r>
        <w:rPr/>
        <w:t xml:space="preserve">ДАНА </w:t>
      </w:r>
      <w:r>
        <w:rPr>
          <w:lang w:val="sr-RS"/>
        </w:rPr>
        <w:t>:16.06.2014.</w:t>
      </w:r>
      <w:r>
        <w:rPr/>
        <w:t>године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           </w:t>
      </w:r>
      <w:r>
        <w:rPr/>
        <w:t xml:space="preserve">На основу спроведеног отвореног  поступка у </w:t>
      </w:r>
      <w:r>
        <w:rPr>
          <w:lang w:val="sr-RS"/>
        </w:rPr>
        <w:t>предмету јавне набавке</w:t>
      </w:r>
      <w:r>
        <w:rPr/>
        <w:t xml:space="preserve"> : добра – Намирнице и прехрамбени  производи</w:t>
      </w:r>
      <w:r>
        <w:rPr>
          <w:lang w:val="sr-RS"/>
        </w:rPr>
        <w:t xml:space="preserve"> </w:t>
      </w:r>
      <w:r>
        <w:rPr/>
        <w:t>дел. бр.222</w:t>
      </w:r>
      <w:r>
        <w:rPr>
          <w:lang w:val="sr-RS"/>
        </w:rPr>
        <w:t xml:space="preserve"> </w:t>
      </w:r>
      <w:r>
        <w:rPr/>
        <w:t>од</w:t>
      </w:r>
      <w:r>
        <w:rPr>
          <w:lang w:val="sr-RS"/>
        </w:rPr>
        <w:t xml:space="preserve"> 02.04.2014.</w:t>
      </w:r>
      <w:r>
        <w:rPr/>
        <w:t xml:space="preserve"> године закључује се :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  <w:lang w:val="sr-RS"/>
        </w:rPr>
        <w:t xml:space="preserve">     </w:t>
      </w:r>
      <w:r>
        <w:rPr>
          <w:b/>
        </w:rPr>
        <w:t xml:space="preserve">  </w:t>
      </w:r>
      <w:r>
        <w:rPr>
          <w:b/>
        </w:rPr>
        <w:t>УГОВО</w:t>
      </w:r>
      <w:r>
        <w:rPr>
          <w:b/>
          <w:lang w:val="sr-RS"/>
        </w:rPr>
        <w:t>Р О КУПОПРОДАЈИ</w:t>
      </w:r>
    </w:p>
    <w:p>
      <w:pPr>
        <w:pStyle w:val="style0"/>
      </w:pPr>
      <w:r>
        <w:rPr/>
      </w:r>
    </w:p>
    <w:p>
      <w:pPr>
        <w:pStyle w:val="style0"/>
      </w:pPr>
      <w:r>
        <w:rPr>
          <w:lang w:val="sr-RS"/>
        </w:rPr>
        <w:t xml:space="preserve"> </w:t>
      </w:r>
      <w:r>
        <w:rPr>
          <w:lang w:val="sr-RS"/>
        </w:rPr>
        <w:t>Дана</w:t>
      </w:r>
      <w:r>
        <w:rPr/>
        <w:t xml:space="preserve"> : 16.06.2014. </w:t>
      </w:r>
      <w:r>
        <w:rPr>
          <w:lang w:val="sr-RS"/>
        </w:rPr>
        <w:t>године између :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 xml:space="preserve">Специјална болница за плућне болести “Др Будислав Бабић” из Беле Цркве ул. Светозара Милетића бр. 55 кога заступа Директор Лакетић др Лидија ( у даљем тексту Наручилац ) сa једне стране и 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>
          <w:lang w:val="sr-RS"/>
        </w:rPr>
        <w:t>„</w:t>
      </w:r>
      <w:r>
        <w:rPr>
          <w:lang w:val="sr-RS"/>
        </w:rPr>
        <w:t>СЕЛЕКТА“ д.о.о.</w:t>
      </w:r>
      <w:r>
        <w:rPr/>
        <w:t xml:space="preserve">из Новог Сада </w:t>
      </w:r>
      <w:r>
        <w:rPr>
          <w:lang w:val="sr-RS"/>
        </w:rPr>
        <w:t>ул. Клисански пут  бр. 134 кога заступа директор Родић Драгомир  ( у даљем тексту Понуђач ) са друге стране</w:t>
      </w:r>
      <w:r>
        <w:rPr/>
        <w:t>.</w:t>
      </w:r>
    </w:p>
    <w:p>
      <w:pPr>
        <w:pStyle w:val="style0"/>
        <w:ind w:hanging="0" w:left="720" w:right="0"/>
      </w:pPr>
      <w:r>
        <w:rPr/>
      </w:r>
    </w:p>
    <w:p>
      <w:pPr>
        <w:pStyle w:val="style0"/>
        <w:spacing w:line="480" w:lineRule="auto"/>
        <w:ind w:hanging="0" w:left="0" w:right="0"/>
      </w:pPr>
      <w:r>
        <w:rPr/>
      </w:r>
    </w:p>
    <w:p>
      <w:pPr>
        <w:pStyle w:val="style0"/>
        <w:jc w:val="center"/>
      </w:pPr>
      <w:r>
        <w:rPr/>
        <w:t>Члан  1</w:t>
      </w:r>
      <w:r>
        <w:rPr>
          <w:lang w:val="sr-RS"/>
        </w:rPr>
        <w:t>.</w:t>
      </w:r>
    </w:p>
    <w:p>
      <w:pPr>
        <w:pStyle w:val="style0"/>
      </w:pPr>
      <w:r>
        <w:rPr/>
        <w:t xml:space="preserve">  </w:t>
      </w:r>
      <w:r>
        <w:rPr/>
        <w:t>Наручилац додељује набавку, а Понуђач прихвата да за рачун и потребе Наручиоца врши</w:t>
      </w:r>
      <w:r>
        <w:rPr>
          <w:lang w:val="sr-RS"/>
        </w:rPr>
        <w:t xml:space="preserve"> испоруку намирница </w:t>
      </w:r>
      <w:r>
        <w:rPr/>
        <w:t>( партија бр.</w:t>
      </w:r>
      <w:r>
        <w:rPr>
          <w:lang w:val="sr-RS"/>
        </w:rPr>
        <w:t xml:space="preserve"> 3 Риба смрзнута </w:t>
      </w:r>
      <w:r>
        <w:rPr/>
        <w:t>) у</w:t>
      </w:r>
      <w:r>
        <w:rPr>
          <w:lang w:val="sr-RS"/>
        </w:rPr>
        <w:t xml:space="preserve">  количинама и</w:t>
      </w:r>
      <w:r>
        <w:rPr>
          <w:lang w:val="ru-RU"/>
        </w:rPr>
        <w:t xml:space="preserve"> квалитету</w:t>
      </w:r>
      <w:r>
        <w:rPr>
          <w:lang w:val="sr-RS"/>
        </w:rPr>
        <w:t xml:space="preserve"> под условима ( цена је по паритету франко Наручилац ) </w:t>
      </w:r>
      <w:r>
        <w:rPr/>
        <w:t xml:space="preserve">  из понуде Понуђача </w:t>
      </w:r>
      <w:r>
        <w:rPr>
          <w:lang w:val="sr-RS"/>
        </w:rPr>
        <w:t xml:space="preserve">286/1 </w:t>
      </w:r>
      <w:r>
        <w:rPr/>
        <w:t>од</w:t>
      </w:r>
      <w:r>
        <w:rPr>
          <w:lang w:val="sr-RS"/>
        </w:rPr>
        <w:t xml:space="preserve"> 22.05.2014.</w:t>
      </w:r>
      <w:r>
        <w:rPr/>
        <w:t>године</w:t>
      </w:r>
      <w:r>
        <w:rPr>
          <w:lang w:val="sr-RS"/>
        </w:rPr>
        <w:t xml:space="preserve">  (попуњава наручилац).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Члан  2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Уговорне стране су сагласне да оријентациона укупна вредност</w:t>
      </w:r>
      <w:r>
        <w:rPr>
          <w:lang w:val="sr-RS"/>
        </w:rPr>
        <w:t xml:space="preserve">  из члана 1 овог уговора износи </w:t>
      </w:r>
      <w:r>
        <w:rPr>
          <w:b/>
          <w:bCs/>
          <w:lang w:val="sr-RS"/>
        </w:rPr>
        <w:t>454.300,00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 xml:space="preserve">динара </w:t>
      </w:r>
      <w:r>
        <w:rPr>
          <w:lang w:val="sr-RS"/>
        </w:rPr>
        <w:t>без ПДВ-а</w:t>
      </w:r>
      <w:r>
        <w:rPr/>
        <w:t xml:space="preserve"> са обрачунатим ПДВ-ом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 xml:space="preserve">545.160,00 </w:t>
      </w:r>
      <w:r>
        <w:rPr>
          <w:b/>
          <w:bCs/>
        </w:rPr>
        <w:t>динар</w:t>
      </w:r>
      <w:r>
        <w:rPr>
          <w:b/>
          <w:bCs/>
          <w:lang w:val="sr-RS"/>
        </w:rPr>
        <w:t>а</w:t>
      </w:r>
      <w:r>
        <w:rPr/>
        <w:t>, a у складу са законским прописима о обрачунавању ПДВ-а.</w:t>
      </w:r>
    </w:p>
    <w:p>
      <w:pPr>
        <w:pStyle w:val="style0"/>
        <w:jc w:val="both"/>
      </w:pPr>
      <w:r>
        <w:rPr/>
        <w:t xml:space="preserve"> </w:t>
      </w:r>
      <w:r>
        <w:rPr/>
        <w:t>Наручилац задржава право корекције уговорених количина добара, у случају измењених околности у пословању наручиоца</w:t>
      </w:r>
    </w:p>
    <w:p>
      <w:pPr>
        <w:pStyle w:val="style0"/>
        <w:jc w:val="center"/>
      </w:pPr>
      <w:r>
        <w:rPr/>
        <w:t>Члан  3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 </w:t>
      </w:r>
      <w:r>
        <w:rPr/>
        <w:t xml:space="preserve">Цене током важења уговора се могу кориговати по протеку рока важења понуде  </w:t>
      </w:r>
      <w:r>
        <w:rPr>
          <w:lang w:val="sr-RS"/>
        </w:rPr>
        <w:t xml:space="preserve"> </w:t>
      </w:r>
      <w:r>
        <w:rPr/>
        <w:t>искључиво из објективних разлога и то :</w:t>
      </w:r>
    </w:p>
    <w:p>
      <w:pPr>
        <w:pStyle w:val="style0"/>
        <w:numPr>
          <w:ilvl w:val="0"/>
          <w:numId w:val="2"/>
        </w:numPr>
        <w:jc w:val="both"/>
      </w:pPr>
      <w:r>
        <w:rPr/>
        <w:t>уколико цена робе зависи од кретања цене на домаћем тржишту, могуће је извршити промену цена на више или на ниже и то до износа раста или пада потрошачких цена у Републици Србији, према статистичким  подацима референтних институција у Републици Србији</w:t>
      </w:r>
    </w:p>
    <w:p>
      <w:pPr>
        <w:pStyle w:val="style0"/>
        <w:tabs>
          <w:tab w:leader="none" w:pos="284" w:val="left"/>
          <w:tab w:leader="none" w:pos="720" w:val="left"/>
          <w:tab w:leader="none" w:pos="851" w:val="left"/>
        </w:tabs>
        <w:jc w:val="both"/>
      </w:pPr>
      <w:r>
        <w:rPr/>
        <w:t xml:space="preserve"> </w:t>
      </w:r>
      <w:r>
        <w:rPr>
          <w:lang w:val="sr-RS"/>
        </w:rPr>
        <w:t xml:space="preserve"> </w:t>
      </w:r>
      <w:r>
        <w:rPr/>
        <w:t>Захтев за промену цена могу поднети и наручилац и понуђач. Захтев  за промену цена садржи назив, односно списак добара за које се тражи промена цена, са понуђеном ценом</w:t>
      </w:r>
      <w:r>
        <w:rPr>
          <w:lang w:val="sr-RS"/>
        </w:rPr>
        <w:t xml:space="preserve"> из понуде</w:t>
      </w:r>
      <w:r>
        <w:rPr/>
        <w:t xml:space="preserve"> и новом ценом, датум примене нове цене, образложење разлога повећања односно смањења цена и друге одговарајуће доказе.</w:t>
      </w:r>
    </w:p>
    <w:p>
      <w:pPr>
        <w:pStyle w:val="style0"/>
        <w:jc w:val="both"/>
      </w:pPr>
      <w:r>
        <w:rPr>
          <w:lang w:val="sr-RS"/>
        </w:rPr>
        <w:t xml:space="preserve">  </w:t>
      </w:r>
      <w:r>
        <w:rPr/>
        <w:t>У случају да понуђач неоправдано захтева промену цене и не докаже постојање објективних  разлога за промену цене и престане са испоруком робе, наручилац може раскинути уговор о јавној набавци са отказним роком од 10 дана од дана достављања писменог обавештења о отказу уговора, и задржава право наплате средстава обезбеђења – менице .</w:t>
      </w:r>
    </w:p>
    <w:p>
      <w:pPr>
        <w:pStyle w:val="style0"/>
        <w:jc w:val="both"/>
      </w:pPr>
      <w:r>
        <w:rPr/>
        <w:t xml:space="preserve">  </w:t>
      </w:r>
      <w:r>
        <w:rPr/>
        <w:t>Одговор на захтев за промену цена доставља се у року од 7 дана од дана пријема захтева, а од момента пријема захтева за промену цена до момента примене нових цена мора проћи најмање 10 дана након потписивања промене уговора.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  <w:t>Члан  4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 </w:t>
      </w:r>
      <w:r>
        <w:rPr/>
        <w:t>Понуђач се обавезује да испоруку  врши сукцесивно у количинама и роковима које је дао у понуди, а  које одреди Наручилац.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Наруџбина се врши писменом поруџбином </w:t>
      </w:r>
      <w:r>
        <w:rPr>
          <w:lang w:val="sr-RS"/>
        </w:rPr>
        <w:t>путем</w:t>
      </w:r>
      <w:r>
        <w:rPr/>
        <w:t xml:space="preserve"> </w:t>
      </w:r>
      <w:r>
        <w:rPr>
          <w:lang w:val="sr-RS"/>
        </w:rPr>
        <w:t>факса или</w:t>
      </w:r>
      <w:r>
        <w:rPr/>
        <w:t xml:space="preserve"> e-mail</w:t>
      </w:r>
      <w:r>
        <w:rPr>
          <w:lang w:val="sr-RS"/>
        </w:rPr>
        <w:t>-а</w:t>
      </w:r>
      <w:r>
        <w:rPr/>
        <w:t xml:space="preserve">  која се Понуђачу доставља најкасније </w:t>
      </w:r>
      <w:r>
        <w:rPr>
          <w:lang w:val="sr-RS"/>
        </w:rPr>
        <w:t xml:space="preserve">18 сати </w:t>
      </w:r>
      <w:r>
        <w:rPr/>
        <w:t>пре рока одређеног за испоруку</w:t>
      </w:r>
      <w:r>
        <w:rPr>
          <w:lang w:val="sr-RS"/>
        </w:rPr>
        <w:t>.</w:t>
      </w:r>
      <w:r>
        <w:rPr/>
        <w:t xml:space="preserve"> Датумом  испоруке сматра се датум на отпремници коју ј</w:t>
      </w:r>
      <w:r>
        <w:rPr>
          <w:lang w:val="sr-RS"/>
        </w:rPr>
        <w:t>е</w:t>
      </w:r>
      <w:r>
        <w:rPr/>
        <w:t xml:space="preserve"> Наручилац дужан да потпише.</w:t>
      </w:r>
    </w:p>
    <w:p>
      <w:pPr>
        <w:pStyle w:val="style0"/>
        <w:jc w:val="both"/>
      </w:pPr>
      <w:r>
        <w:rPr/>
        <w:t xml:space="preserve">  </w:t>
      </w:r>
      <w:r>
        <w:rPr/>
        <w:t>Понуђач је дужан да у отпремници тачно  назначи број и датум, назив робе, каталошки број, јединицу мере , количину и укупан износ.</w:t>
      </w:r>
    </w:p>
    <w:p>
      <w:pPr>
        <w:pStyle w:val="style0"/>
        <w:jc w:val="both"/>
      </w:pPr>
      <w:r>
        <w:rPr>
          <w:lang w:val="sr-RS"/>
        </w:rPr>
        <w:t xml:space="preserve">  </w:t>
      </w:r>
      <w:r>
        <w:rPr/>
        <w:t>Подаци назначени на отпремници морају бити идентични са подацима из рачуна који ће Понуђач доставити Наручиоцу.</w:t>
      </w:r>
    </w:p>
    <w:p>
      <w:pPr>
        <w:pStyle w:val="style0"/>
        <w:jc w:val="both"/>
      </w:pPr>
      <w:r>
        <w:rPr/>
        <w:t xml:space="preserve">  </w:t>
      </w:r>
      <w:r>
        <w:rPr/>
        <w:t>Понуђач прихвата испоруку франко магацин купца на адресу Специјална болница за плућне болести “Др Будислав Бабић” у Белој Цркви  ул. Светозара Милетића бр. 55,</w:t>
      </w:r>
      <w:r>
        <w:rPr>
          <w:lang w:val="sr-RS"/>
        </w:rPr>
        <w:t xml:space="preserve"> а у времену </w:t>
      </w:r>
      <w:r>
        <w:rPr/>
        <w:t>које је дао у понуди, а одредио наручилац.</w:t>
      </w:r>
    </w:p>
    <w:p>
      <w:pPr>
        <w:pStyle w:val="style0"/>
        <w:jc w:val="both"/>
      </w:pPr>
      <w:r>
        <w:rPr>
          <w:lang w:val="ru-RU"/>
        </w:rPr>
        <w:t xml:space="preserve">  </w:t>
      </w:r>
      <w:r>
        <w:rPr>
          <w:lang w:val="sr-RS"/>
        </w:rPr>
        <w:t>У случају закашњења у испоруци, односно испоруци  после одређеног рока који је Наручилац дао у својој поруџбини Понуђачу, а за коју је одговоран Понуђач, одредиће се накнадни рок, уз обавезу Понуђача на плаћање уговорене казне од 5% од вредности неиспорученог дела робе.</w:t>
      </w:r>
    </w:p>
    <w:p>
      <w:pPr>
        <w:pStyle w:val="style0"/>
        <w:jc w:val="center"/>
      </w:pPr>
      <w:r>
        <w:rPr/>
        <w:t>Члан  5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Понуђач гарантује да ће испоручени производи </w:t>
      </w:r>
      <w:r>
        <w:rPr>
          <w:lang w:val="sr-RS"/>
        </w:rPr>
        <w:t xml:space="preserve">одговарати прописаним и прихваћеним стандардима и прописима </w:t>
      </w:r>
      <w:r>
        <w:rPr/>
        <w:t>и бити здравствено и хигијенски исправни, транспортовани по прописима за транспорт одређених намирница и прехрамбених производа у складу са НАССР системом и дужан је да у том смислу уз робу достави и потребну пратећу документацију.</w:t>
      </w:r>
    </w:p>
    <w:p>
      <w:pPr>
        <w:pStyle w:val="style0"/>
      </w:pPr>
      <w:r>
        <w:rPr/>
        <w:t>Уколико се на роби установи било какав недостатак или неисправност Наручилац је дужан да о томе сачини записник и да је одмах врати Понуђачу, а Понуђач се обавезује да изврши замену рекламиране робе истог дана.</w:t>
      </w:r>
    </w:p>
    <w:p>
      <w:pPr>
        <w:pStyle w:val="style0"/>
        <w:jc w:val="both"/>
      </w:pPr>
      <w:r>
        <w:rPr>
          <w:lang w:val="sr-RS"/>
        </w:rPr>
        <w:t xml:space="preserve">Наручилац има право, у случају да није задовољан робом одређеног произвођача, да тражи од Понуђача исту врсту робе </w:t>
      </w:r>
      <w:r>
        <w:rPr>
          <w:lang w:val="ru-RU"/>
        </w:rPr>
        <w:t xml:space="preserve"> прве или А класе </w:t>
      </w:r>
      <w:r>
        <w:rPr>
          <w:lang w:val="sr-RS"/>
        </w:rPr>
        <w:t>другог произвођача.</w:t>
      </w:r>
    </w:p>
    <w:p>
      <w:pPr>
        <w:pStyle w:val="style0"/>
        <w:jc w:val="both"/>
      </w:pPr>
      <w:r>
        <w:rPr/>
        <w:t xml:space="preserve">  </w:t>
      </w:r>
      <w:r>
        <w:rPr/>
        <w:t>Сви трошкови транспорта, утовара, истовара и осигурања производа до ускладиштења у магацин наручиоца падају на терет понуђача.</w:t>
      </w:r>
    </w:p>
    <w:p>
      <w:pPr>
        <w:pStyle w:val="style0"/>
      </w:pPr>
      <w:r>
        <w:rPr/>
      </w:r>
    </w:p>
    <w:p>
      <w:pPr>
        <w:pStyle w:val="style0"/>
        <w:tabs>
          <w:tab w:leader="none" w:pos="720" w:val="left"/>
          <w:tab w:leader="none" w:pos="5790" w:val="left"/>
        </w:tabs>
      </w:pPr>
      <w:r>
        <w:rPr/>
      </w:r>
    </w:p>
    <w:p>
      <w:pPr>
        <w:pStyle w:val="style0"/>
        <w:jc w:val="both"/>
      </w:pPr>
      <w:r>
        <w:rPr>
          <w:lang w:val="sr-RS"/>
        </w:rPr>
        <w:t xml:space="preserve">  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  <w:t>Члан  6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Понуђач за испоручене  производе</w:t>
      </w:r>
      <w:r>
        <w:rPr>
          <w:lang w:val="sr-RS"/>
        </w:rPr>
        <w:t xml:space="preserve"> доставља фактуру Наручиоцу</w:t>
      </w:r>
      <w:r>
        <w:rPr/>
        <w:t>.</w:t>
      </w:r>
    </w:p>
    <w:p>
      <w:pPr>
        <w:pStyle w:val="style0"/>
        <w:jc w:val="both"/>
      </w:pPr>
      <w:r>
        <w:rPr/>
        <w:t>Наручилац се обавезује да износ</w:t>
      </w:r>
      <w:r>
        <w:rPr>
          <w:lang w:val="sr-RS"/>
        </w:rPr>
        <w:t xml:space="preserve"> из достављене </w:t>
      </w:r>
      <w:r>
        <w:rPr/>
        <w:t>фактуре уплати на текући рачун Понуђача бр. 160-920297-96 “Banca Intesa”ad Beograd</w:t>
      </w:r>
      <w:r>
        <w:rPr>
          <w:lang w:val="sr-RS"/>
        </w:rPr>
        <w:t xml:space="preserve"> </w:t>
      </w:r>
      <w:r>
        <w:rPr/>
        <w:t>у року од</w:t>
      </w:r>
      <w:r>
        <w:rPr>
          <w:lang w:val="sr-RS"/>
        </w:rPr>
        <w:t xml:space="preserve"> 45 д</w:t>
      </w:r>
      <w:r>
        <w:rPr/>
        <w:t>ана по испостављеној фактури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>
          <w:lang w:val="sr-RS"/>
        </w:rPr>
        <w:t xml:space="preserve">Због </w:t>
      </w:r>
      <w:r>
        <w:rPr/>
        <w:t>неоправданог кашњења плаћања Понуђач има право на обрачунату законску камату, осим у случају да Наручилац није био у могућности да изврши исплату због непребацивања средстава од стране РФЗО</w:t>
      </w:r>
      <w:r>
        <w:rPr>
          <w:lang w:val="ru-RU"/>
        </w:rPr>
        <w:t>,</w:t>
      </w:r>
      <w:r>
        <w:rPr>
          <w:lang w:val="sr-RS"/>
        </w:rPr>
        <w:t xml:space="preserve"> науке</w:t>
      </w:r>
      <w:r>
        <w:rPr>
          <w:lang w:val="ru-RU"/>
        </w:rPr>
        <w:t xml:space="preserve"> и технолошког развоја</w:t>
      </w:r>
      <w:r>
        <w:rPr/>
        <w:t xml:space="preserve"> на рачун Специјалне болнице за плућне болести “Др Будислав Бабић”.У том случају Наручилац је у обавези да исплату изврши одмах по приспећу средстава од стране министарства.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  <w:t>Члан 7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Нручилац захтева да се уз понуду приложи и Изјава о достављању менице, којом неопозиво потврђује да ће наручиоцу, на дан закључења уговора, доставити бланко сопствену меницу ( соло меницу ) уредно оверену и потписану од стране овлашћеног лица и менично овлашћење за добро извршење посла у висини од 10% од укупне вредности уговора без ПДВ-а, а у корист Наручиоца, која треба да буде са клаузулом „ без протеста“, роком доспећа „ по виђењу “ и роком важења  30 дана дуже од дана трајања уговора.</w:t>
      </w:r>
    </w:p>
    <w:p>
      <w:pPr>
        <w:pStyle w:val="style0"/>
        <w:jc w:val="both"/>
      </w:pPr>
      <w:r>
        <w:rPr/>
        <w:t xml:space="preserve">  </w:t>
      </w:r>
      <w:r>
        <w:rPr/>
        <w:t>Наручилац задржава право наплате средства обезбеђења – менице у свим случајевима предвиђеним уговором приликом једностраног раскида уговора због непоштовања обавеза из понуде и уговора од стране Добављача.</w:t>
      </w:r>
    </w:p>
    <w:p>
      <w:pPr>
        <w:pStyle w:val="style0"/>
        <w:jc w:val="center"/>
      </w:pPr>
      <w:r>
        <w:rPr/>
        <w:t>Члан  8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Уговорне стране могу отказати овај уговор без икаквих последица за себе у следећим случајевима </w:t>
      </w:r>
      <w:r>
        <w:rPr>
          <w:lang w:val="ru-RU"/>
        </w:rPr>
        <w:t>:</w:t>
      </w:r>
    </w:p>
    <w:p>
      <w:pPr>
        <w:pStyle w:val="style0"/>
        <w:jc w:val="both"/>
      </w:pPr>
      <w:r>
        <w:rPr/>
        <w:t>НАРУЧИЛАЦ –</w:t>
      </w:r>
    </w:p>
    <w:p>
      <w:pPr>
        <w:pStyle w:val="style0"/>
        <w:numPr>
          <w:ilvl w:val="0"/>
          <w:numId w:val="2"/>
        </w:numPr>
        <w:jc w:val="both"/>
      </w:pPr>
      <w:r>
        <w:rPr/>
        <w:t>ако Понуђач супротно члану 3 овог уговора повећа цену по усвојеним ставкама понуде</w:t>
      </w:r>
    </w:p>
    <w:p>
      <w:pPr>
        <w:pStyle w:val="style0"/>
        <w:numPr>
          <w:ilvl w:val="0"/>
          <w:numId w:val="2"/>
        </w:numPr>
        <w:jc w:val="both"/>
      </w:pPr>
      <w:r>
        <w:rPr/>
        <w:t>Ако Понуђач три или више пута не испоштује рокове испоруке из члана 4 овог уговора</w:t>
      </w:r>
    </w:p>
    <w:p>
      <w:pPr>
        <w:pStyle w:val="style0"/>
        <w:numPr>
          <w:ilvl w:val="0"/>
          <w:numId w:val="2"/>
        </w:numPr>
        <w:jc w:val="both"/>
      </w:pPr>
      <w:r>
        <w:rPr>
          <w:lang w:val="sr-RS"/>
        </w:rPr>
        <w:t>Ако Понуђач одбије да изврши замену робе из члана 5 став 2 овог  уговора</w:t>
      </w:r>
    </w:p>
    <w:p>
      <w:pPr>
        <w:pStyle w:val="style0"/>
        <w:ind w:hanging="0" w:left="360" w:right="0"/>
        <w:jc w:val="both"/>
      </w:pPr>
      <w:r>
        <w:rPr/>
        <w:t xml:space="preserve">Рекламације од стране наручиоца констатоваће се записнички, с тим што се записник доставља понуђачу. </w:t>
      </w:r>
    </w:p>
    <w:p>
      <w:pPr>
        <w:pStyle w:val="style0"/>
        <w:ind w:hanging="0" w:left="142" w:right="0"/>
        <w:jc w:val="both"/>
      </w:pPr>
      <w:r>
        <w:rPr/>
        <w:t>ПОНУЂАЧ :</w:t>
      </w:r>
    </w:p>
    <w:p>
      <w:pPr>
        <w:pStyle w:val="style0"/>
        <w:numPr>
          <w:ilvl w:val="0"/>
          <w:numId w:val="2"/>
        </w:numPr>
        <w:jc w:val="both"/>
      </w:pPr>
      <w:r>
        <w:rPr/>
        <w:t>у случају да Наручилац два или више пута неоправдано не испоштује рокове плаћања фактуре из члана 6 став 2 овог уговора</w:t>
      </w:r>
    </w:p>
    <w:p>
      <w:pPr>
        <w:pStyle w:val="style0"/>
        <w:numPr>
          <w:ilvl w:val="0"/>
          <w:numId w:val="2"/>
        </w:numPr>
      </w:pPr>
      <w:r>
        <w:rPr/>
        <w:t>отказни рок за обе стране износи 10 дана</w:t>
      </w:r>
    </w:p>
    <w:p>
      <w:pPr>
        <w:pStyle w:val="style0"/>
        <w:ind w:hanging="0" w:left="360" w:right="0"/>
        <w:jc w:val="center"/>
      </w:pPr>
      <w:r>
        <w:rPr/>
        <w:t>Члан 9</w:t>
      </w:r>
      <w:r>
        <w:rPr>
          <w:lang w:val="sr-RS"/>
        </w:rPr>
        <w:t>.</w:t>
      </w:r>
    </w:p>
    <w:p>
      <w:pPr>
        <w:pStyle w:val="style0"/>
        <w:ind w:hanging="0" w:left="360" w:right="0"/>
      </w:pPr>
      <w:r>
        <w:rPr/>
        <w:t xml:space="preserve">  </w:t>
      </w:r>
      <w:r>
        <w:rPr/>
        <w:t>За све што није уговорено примењиваће се се одредбе Закона о облигационим односима.</w:t>
      </w:r>
    </w:p>
    <w:p>
      <w:pPr>
        <w:pStyle w:val="style0"/>
        <w:ind w:hanging="0" w:left="360" w:right="0"/>
        <w:jc w:val="center"/>
      </w:pPr>
      <w:r>
        <w:rPr/>
        <w:t>Члан  10</w:t>
      </w:r>
      <w:r>
        <w:rPr>
          <w:lang w:val="sr-RS"/>
        </w:rPr>
        <w:t>.</w:t>
      </w:r>
    </w:p>
    <w:p>
      <w:pPr>
        <w:pStyle w:val="style0"/>
        <w:ind w:hanging="0" w:left="360" w:right="0"/>
      </w:pPr>
      <w:r>
        <w:rPr/>
        <w:t xml:space="preserve"> </w:t>
      </w:r>
      <w:r>
        <w:rPr/>
        <w:t xml:space="preserve">Све евентуалне спорове уговорне стране ће решавати споразумно. Уколико до споразума не дође, уговара се надлежност </w:t>
      </w:r>
      <w:r>
        <w:rPr>
          <w:lang w:val="sr-RS"/>
        </w:rPr>
        <w:t>Привредног</w:t>
      </w:r>
      <w:r>
        <w:rPr/>
        <w:t xml:space="preserve"> суда у Панчеву.</w:t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  <w:t>Члан 11</w:t>
      </w:r>
      <w:r>
        <w:rPr>
          <w:lang w:val="sr-RS"/>
        </w:rPr>
        <w:t>.</w:t>
      </w:r>
    </w:p>
    <w:p>
      <w:pPr>
        <w:pStyle w:val="style0"/>
        <w:ind w:hanging="0" w:left="360" w:right="0"/>
        <w:jc w:val="both"/>
      </w:pPr>
      <w:r>
        <w:rPr/>
        <w:t xml:space="preserve">   </w:t>
      </w:r>
      <w:r>
        <w:rPr/>
        <w:t>Овај уговор ступа на снагу даном потписа свих уговорних страна и важи годину дана након потписивања.</w:t>
      </w:r>
    </w:p>
    <w:p>
      <w:pPr>
        <w:pStyle w:val="style0"/>
        <w:ind w:hanging="0" w:left="360" w:right="0"/>
        <w:jc w:val="center"/>
      </w:pPr>
      <w:r>
        <w:rPr/>
        <w:t>Члан 12</w:t>
      </w:r>
      <w:r>
        <w:rPr>
          <w:lang w:val="sr-RS"/>
        </w:rPr>
        <w:t>.</w:t>
      </w:r>
    </w:p>
    <w:p>
      <w:pPr>
        <w:pStyle w:val="style0"/>
        <w:ind w:hanging="0" w:left="360" w:right="0"/>
        <w:jc w:val="both"/>
      </w:pPr>
      <w:r>
        <w:rPr/>
        <w:t xml:space="preserve">  </w:t>
      </w:r>
      <w:r>
        <w:rPr/>
        <w:t>Овај уговор сачињен је у 4 истоветна примерка од којих свака страна задржава по 2 примерка.</w:t>
      </w:r>
    </w:p>
    <w:p>
      <w:pPr>
        <w:pStyle w:val="style0"/>
        <w:ind w:hanging="0" w:left="360" w:right="0"/>
      </w:pPr>
      <w:r>
        <w:rPr/>
        <w:t xml:space="preserve">     </w:t>
      </w:r>
      <w:r>
        <w:rPr/>
        <w:t>ПОНУЂАЧ</w:t>
        <w:tab/>
        <w:tab/>
        <w:tab/>
        <w:tab/>
      </w:r>
      <w:r>
        <w:rPr>
          <w:lang w:val="sr-RS"/>
        </w:rPr>
        <w:t xml:space="preserve">                        </w:t>
      </w:r>
      <w:r>
        <w:rPr/>
        <w:tab/>
        <w:t>НАРУЧИЛАЦ</w:t>
      </w:r>
    </w:p>
    <w:p>
      <w:pPr>
        <w:pStyle w:val="style0"/>
        <w:ind w:hanging="0" w:left="360" w:right="0"/>
      </w:pPr>
      <w:r>
        <w:rPr/>
        <w:t xml:space="preserve">       </w:t>
      </w:r>
      <w:r>
        <w:rPr/>
        <w:t>Директор:                                                                                Директор:</w:t>
      </w:r>
    </w:p>
    <w:p>
      <w:pPr>
        <w:pStyle w:val="style0"/>
        <w:ind w:hanging="0" w:left="360" w:right="0"/>
      </w:pPr>
      <w:r>
        <w:rPr/>
        <w:t>Родић Драгомир                                                                       Лакетић др Лидија</w:t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0" w:right="0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tabs>
          <w:tab w:leader="none" w:pos="720" w:val="left"/>
          <w:tab w:leader="none" w:pos="3135" w:val="left"/>
        </w:tabs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985" w:footer="426" w:gutter="0" w:header="1433" w:left="1240" w:right="1120" w:top="1992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34"/>
      <w:jc w:val="right"/>
    </w:pPr>
    <w:r>
      <w:rPr/>
      <w:t xml:space="preserve">                                                                                                        </w:t>
    </w: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33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2"/>
      <w:numFmt w:val="decimal"/>
      <w:lvlText w:val="%1.%2."/>
      <w:lvlJc w:val="left"/>
      <w:pPr>
        <w:tabs>
          <w:tab w:pos="1080" w:val="num"/>
        </w:tabs>
        <w:ind w:hanging="720" w:left="1080"/>
      </w:pPr>
    </w:lvl>
    <w:lvl w:ilvl="2">
      <w:start w:val="1"/>
      <w:numFmt w:val="decimal"/>
      <w:lvlText w:val="%1.%2.%3."/>
      <w:lvlJc w:val="left"/>
      <w:pPr>
        <w:tabs>
          <w:tab w:pos="1080" w:val="num"/>
        </w:tabs>
        <w:ind w:hanging="720" w:left="1080"/>
      </w:pPr>
    </w:lvl>
    <w:lvl w:ilvl="3">
      <w:start w:val="1"/>
      <w:numFmt w:val="decimal"/>
      <w:lvlText w:val="%1.%2.%3.%4."/>
      <w:lvlJc w:val="left"/>
      <w:pPr>
        <w:tabs>
          <w:tab w:pos="1440" w:val="num"/>
        </w:tabs>
        <w:ind w:hanging="1080" w:left="1440"/>
      </w:pPr>
    </w:lvl>
    <w:lvl w:ilvl="4">
      <w:start w:val="1"/>
      <w:numFmt w:val="decimal"/>
      <w:lvlText w:val="%1.%2.%3.%4.%5."/>
      <w:lvlJc w:val="left"/>
      <w:pPr>
        <w:tabs>
          <w:tab w:pos="1440" w:val="num"/>
        </w:tabs>
        <w:ind w:hanging="1080" w:left="1440"/>
      </w:pPr>
    </w:lvl>
    <w:lvl w:ilvl="5">
      <w:start w:val="1"/>
      <w:numFmt w:val="decimal"/>
      <w:lvlText w:val="%1.%2.%3.%4.%5.%6."/>
      <w:lvlJc w:val="left"/>
      <w:pPr>
        <w:tabs>
          <w:tab w:pos="1800" w:val="num"/>
        </w:tabs>
        <w:ind w:hanging="1440" w:left="1800"/>
      </w:pPr>
    </w:lvl>
    <w:lvl w:ilvl="6">
      <w:start w:val="1"/>
      <w:numFmt w:val="decimal"/>
      <w:lvlText w:val="%1.%2.%3.%4.%5.%6.%7."/>
      <w:lvlJc w:val="left"/>
      <w:pPr>
        <w:tabs>
          <w:tab w:pos="2160" w:val="num"/>
        </w:tabs>
        <w:ind w:hanging="1800" w:left="2160"/>
      </w:pPr>
    </w:lvl>
    <w:lvl w:ilvl="7">
      <w:start w:val="1"/>
      <w:numFmt w:val="decimal"/>
      <w:lvlText w:val="%1.%2.%3.%4.%5.%6.%7.%8."/>
      <w:lvlJc w:val="left"/>
      <w:pPr>
        <w:tabs>
          <w:tab w:pos="2160" w:val="num"/>
        </w:tabs>
        <w:ind w:hanging="1800" w:left="2160"/>
      </w:pPr>
    </w:lvl>
    <w:lvl w:ilvl="8">
      <w:start w:val="1"/>
      <w:numFmt w:val="decimal"/>
      <w:lvlText w:val="%1.%2.%3.%4.%5.%6.%7.%8.%9."/>
      <w:lvlJc w:val="left"/>
      <w:pPr>
        <w:tabs>
          <w:tab w:pos="2520" w:val="num"/>
        </w:tabs>
        <w:ind w:hanging="2160" w:left="252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pos="720" w:val="num"/>
        </w:tabs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overflowPunct w:val="true"/>
      <w:spacing w:after="0" w:before="0" w:line="100" w:lineRule="atLeast"/>
    </w:pPr>
    <w:rPr>
      <w:rFonts w:ascii="Times New Roman" w:cs="Times New Roman" w:eastAsia="Times New Roman" w:hAnsi="Times New Roman"/>
      <w:color w:val="000000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>
      <w:rFonts w:ascii="Times New Roman" w:cs="Times New Roman" w:eastAsia="Times New Roman" w:hAnsi="Times New Roman"/>
      <w:sz w:val="24"/>
      <w:szCs w:val="24"/>
    </w:rPr>
  </w:style>
  <w:style w:styleId="style17" w:type="character">
    <w:name w:val="Footer Char"/>
    <w:basedOn w:val="style15"/>
    <w:next w:val="style17"/>
    <w:rPr>
      <w:rFonts w:ascii="Times New Roman" w:cs="Times New Roman" w:eastAsia="Times New Roman" w:hAnsi="Times New Roman"/>
      <w:sz w:val="24"/>
      <w:szCs w:val="24"/>
    </w:rPr>
  </w:style>
  <w:style w:styleId="style18" w:type="character">
    <w:name w:val="Balloon Text Char"/>
    <w:basedOn w:val="style15"/>
    <w:next w:val="style18"/>
    <w:rPr>
      <w:rFonts w:ascii="Tahoma" w:cs="Tahoma" w:eastAsia="Times New Roman" w:hAnsi="Tahoma"/>
      <w:sz w:val="16"/>
      <w:szCs w:val="16"/>
    </w:rPr>
  </w:style>
  <w:style w:styleId="style19" w:type="character">
    <w:name w:val="ListLabel 1"/>
    <w:next w:val="style19"/>
    <w:rPr>
      <w:rFonts w:cs="Times New Roman" w:eastAsia="Times New Roman"/>
    </w:rPr>
  </w:style>
  <w:style w:styleId="style20" w:type="character">
    <w:name w:val="ListLabel 2"/>
    <w:next w:val="style20"/>
    <w:rPr>
      <w:rFonts w:cs="Courier New"/>
    </w:rPr>
  </w:style>
  <w:style w:styleId="style21" w:type="character">
    <w:name w:val="ListLabel 3"/>
    <w:next w:val="style21"/>
    <w:rPr>
      <w:b/>
    </w:rPr>
  </w:style>
  <w:style w:styleId="style22" w:type="character">
    <w:name w:val="ListLabel 4"/>
    <w:next w:val="style22"/>
    <w:rPr>
      <w:sz w:val="24"/>
    </w:rPr>
  </w:style>
  <w:style w:styleId="style23" w:type="character">
    <w:name w:val="ListLabel 5"/>
    <w:next w:val="style23"/>
    <w:rPr>
      <w:b/>
      <w:sz w:val="24"/>
    </w:rPr>
  </w:style>
  <w:style w:styleId="style24" w:type="character">
    <w:name w:val="ListLabel 6"/>
    <w:next w:val="style24"/>
    <w:rPr>
      <w:b w:val="false"/>
    </w:rPr>
  </w:style>
  <w:style w:styleId="style25" w:type="character">
    <w:name w:val="ListLabel 7"/>
    <w:next w:val="style25"/>
    <w:rPr>
      <w:b/>
    </w:rPr>
  </w:style>
  <w:style w:styleId="style26" w:type="character">
    <w:name w:val="ListLabel 8"/>
    <w:next w:val="style26"/>
    <w:rPr>
      <w:b/>
      <w:sz w:val="24"/>
    </w:rPr>
  </w:style>
  <w:style w:styleId="style27" w:type="character">
    <w:name w:val="ListLabel 9"/>
    <w:next w:val="style27"/>
    <w:rPr>
      <w:b w:val="false"/>
    </w:rPr>
  </w:style>
  <w:style w:styleId="style28" w:type="character">
    <w:name w:val="ListLabel 10"/>
    <w:next w:val="style28"/>
    <w:rPr>
      <w:rFonts w:cs="Times New Roman"/>
    </w:rPr>
  </w:style>
  <w:style w:styleId="style29" w:type="character">
    <w:name w:val="ListLabel 11"/>
    <w:next w:val="style29"/>
    <w:rPr>
      <w:rFonts w:cs="Courier New"/>
    </w:rPr>
  </w:style>
  <w:style w:styleId="style30" w:type="character">
    <w:name w:val="ListLabel 12"/>
    <w:next w:val="style30"/>
    <w:rPr>
      <w:rFonts w:cs="Wingdings"/>
    </w:rPr>
  </w:style>
  <w:style w:styleId="style31" w:type="character">
    <w:name w:val="ListLabel 13"/>
    <w:next w:val="style31"/>
    <w:rPr>
      <w:rFonts w:cs="Symbol"/>
    </w:rPr>
  </w:style>
  <w:style w:styleId="style32" w:type="character">
    <w:name w:val="ListLabel 14"/>
    <w:next w:val="style32"/>
    <w:rPr>
      <w:b/>
    </w:rPr>
  </w:style>
  <w:style w:styleId="style33" w:type="character">
    <w:name w:val="ListLabel 15"/>
    <w:next w:val="style33"/>
    <w:rPr>
      <w:b/>
      <w:sz w:val="24"/>
    </w:rPr>
  </w:style>
  <w:style w:styleId="style34" w:type="character">
    <w:name w:val="ListLabel 16"/>
    <w:next w:val="style34"/>
    <w:rPr>
      <w:b w:val="false"/>
    </w:rPr>
  </w:style>
  <w:style w:styleId="style35" w:type="character">
    <w:name w:val="ListLabel 17"/>
    <w:next w:val="style35"/>
    <w:rPr>
      <w:rFonts w:cs="Times New Roman"/>
    </w:rPr>
  </w:style>
  <w:style w:styleId="style36" w:type="character">
    <w:name w:val="ListLabel 18"/>
    <w:next w:val="style36"/>
    <w:rPr>
      <w:rFonts w:cs="Courier New"/>
    </w:rPr>
  </w:style>
  <w:style w:styleId="style37" w:type="character">
    <w:name w:val="ListLabel 19"/>
    <w:next w:val="style37"/>
    <w:rPr>
      <w:rFonts w:cs="Wingdings"/>
    </w:rPr>
  </w:style>
  <w:style w:styleId="style38" w:type="character">
    <w:name w:val="ListLabel 20"/>
    <w:next w:val="style38"/>
    <w:rPr>
      <w:rFonts w:cs="Symbol"/>
    </w:rPr>
  </w:style>
  <w:style w:styleId="style39" w:type="character">
    <w:name w:val="ListLabel 21"/>
    <w:next w:val="style39"/>
    <w:rPr>
      <w:b/>
    </w:rPr>
  </w:style>
  <w:style w:styleId="style40" w:type="character">
    <w:name w:val="ListLabel 22"/>
    <w:next w:val="style40"/>
    <w:rPr>
      <w:b/>
      <w:sz w:val="24"/>
    </w:rPr>
  </w:style>
  <w:style w:styleId="style41" w:type="character">
    <w:name w:val="ListLabel 23"/>
    <w:next w:val="style41"/>
    <w:rPr>
      <w:b w:val="false"/>
    </w:rPr>
  </w:style>
  <w:style w:styleId="style42" w:type="character">
    <w:name w:val="ListLabel 24"/>
    <w:next w:val="style42"/>
    <w:rPr>
      <w:rFonts w:cs="Times New Roman"/>
    </w:rPr>
  </w:style>
  <w:style w:styleId="style43" w:type="character">
    <w:name w:val="ListLabel 25"/>
    <w:next w:val="style43"/>
    <w:rPr>
      <w:rFonts w:cs="Courier New"/>
    </w:rPr>
  </w:style>
  <w:style w:styleId="style44" w:type="character">
    <w:name w:val="ListLabel 26"/>
    <w:next w:val="style44"/>
    <w:rPr>
      <w:rFonts w:cs="Wingdings"/>
    </w:rPr>
  </w:style>
  <w:style w:styleId="style45" w:type="character">
    <w:name w:val="ListLabel 27"/>
    <w:next w:val="style45"/>
    <w:rPr>
      <w:rFonts w:cs="Symbol"/>
    </w:rPr>
  </w:style>
  <w:style w:styleId="style46" w:type="character">
    <w:name w:val="ListLabel 28"/>
    <w:next w:val="style46"/>
    <w:rPr>
      <w:b/>
    </w:rPr>
  </w:style>
  <w:style w:styleId="style47" w:type="character">
    <w:name w:val="ListLabel 29"/>
    <w:next w:val="style47"/>
    <w:rPr>
      <w:b/>
      <w:sz w:val="24"/>
    </w:rPr>
  </w:style>
  <w:style w:styleId="style48" w:type="character">
    <w:name w:val="ListLabel 30"/>
    <w:next w:val="style48"/>
    <w:rPr>
      <w:b w:val="false"/>
    </w:rPr>
  </w:style>
  <w:style w:styleId="style49" w:type="character">
    <w:name w:val="ListLabel 31"/>
    <w:next w:val="style49"/>
    <w:rPr>
      <w:rFonts w:cs="Times New Roman"/>
    </w:rPr>
  </w:style>
  <w:style w:styleId="style50" w:type="character">
    <w:name w:val="ListLabel 32"/>
    <w:next w:val="style50"/>
    <w:rPr>
      <w:rFonts w:cs="Courier New"/>
    </w:rPr>
  </w:style>
  <w:style w:styleId="style51" w:type="character">
    <w:name w:val="ListLabel 33"/>
    <w:next w:val="style51"/>
    <w:rPr>
      <w:rFonts w:cs="Wingdings"/>
    </w:rPr>
  </w:style>
  <w:style w:styleId="style52" w:type="character">
    <w:name w:val="ListLabel 34"/>
    <w:next w:val="style52"/>
    <w:rPr>
      <w:rFonts w:cs="Symbol"/>
    </w:rPr>
  </w:style>
  <w:style w:styleId="style53" w:type="character">
    <w:name w:val="Bullets"/>
    <w:next w:val="style53"/>
    <w:rPr>
      <w:rFonts w:ascii="OpenSymbol" w:cs="OpenSymbol" w:eastAsia="OpenSymbol" w:hAnsi="OpenSymbol"/>
    </w:rPr>
  </w:style>
  <w:style w:styleId="style54" w:type="character">
    <w:name w:val="ListLabel 35"/>
    <w:next w:val="style54"/>
    <w:rPr>
      <w:b/>
    </w:rPr>
  </w:style>
  <w:style w:styleId="style55" w:type="character">
    <w:name w:val="ListLabel 36"/>
    <w:next w:val="style55"/>
    <w:rPr>
      <w:b/>
      <w:sz w:val="24"/>
    </w:rPr>
  </w:style>
  <w:style w:styleId="style56" w:type="character">
    <w:name w:val="ListLabel 37"/>
    <w:next w:val="style56"/>
    <w:rPr>
      <w:b w:val="false"/>
    </w:rPr>
  </w:style>
  <w:style w:styleId="style57" w:type="character">
    <w:name w:val="ListLabel 38"/>
    <w:next w:val="style57"/>
    <w:rPr>
      <w:rFonts w:cs="Times New Roman"/>
    </w:rPr>
  </w:style>
  <w:style w:styleId="style58" w:type="character">
    <w:name w:val="ListLabel 39"/>
    <w:next w:val="style58"/>
    <w:rPr>
      <w:rFonts w:cs="Courier New"/>
    </w:rPr>
  </w:style>
  <w:style w:styleId="style59" w:type="character">
    <w:name w:val="ListLabel 40"/>
    <w:next w:val="style59"/>
    <w:rPr>
      <w:rFonts w:cs="Wingdings"/>
    </w:rPr>
  </w:style>
  <w:style w:styleId="style60" w:type="character">
    <w:name w:val="ListLabel 41"/>
    <w:next w:val="style60"/>
    <w:rPr>
      <w:rFonts w:cs="Symbol"/>
    </w:rPr>
  </w:style>
  <w:style w:styleId="style61" w:type="character">
    <w:name w:val="ListLabel 42"/>
    <w:next w:val="style61"/>
    <w:rPr>
      <w:b/>
    </w:rPr>
  </w:style>
  <w:style w:styleId="style62" w:type="character">
    <w:name w:val="ListLabel 43"/>
    <w:next w:val="style62"/>
    <w:rPr>
      <w:b/>
      <w:sz w:val="24"/>
    </w:rPr>
  </w:style>
  <w:style w:styleId="style63" w:type="character">
    <w:name w:val="ListLabel 44"/>
    <w:next w:val="style63"/>
    <w:rPr>
      <w:b w:val="false"/>
    </w:rPr>
  </w:style>
  <w:style w:styleId="style64" w:type="character">
    <w:name w:val="ListLabel 45"/>
    <w:next w:val="style64"/>
    <w:rPr>
      <w:rFonts w:cs="Times New Roman"/>
    </w:rPr>
  </w:style>
  <w:style w:styleId="style65" w:type="character">
    <w:name w:val="ListLabel 46"/>
    <w:next w:val="style65"/>
    <w:rPr>
      <w:rFonts w:cs="Courier New"/>
    </w:rPr>
  </w:style>
  <w:style w:styleId="style66" w:type="character">
    <w:name w:val="ListLabel 47"/>
    <w:next w:val="style66"/>
    <w:rPr>
      <w:rFonts w:cs="Wingdings"/>
    </w:rPr>
  </w:style>
  <w:style w:styleId="style67" w:type="character">
    <w:name w:val="ListLabel 48"/>
    <w:next w:val="style67"/>
    <w:rPr>
      <w:rFonts w:cs="Symbol"/>
    </w:rPr>
  </w:style>
  <w:style w:styleId="style68" w:type="character">
    <w:name w:val="ListLabel 49"/>
    <w:next w:val="style68"/>
    <w:rPr>
      <w:b/>
    </w:rPr>
  </w:style>
  <w:style w:styleId="style69" w:type="character">
    <w:name w:val="ListLabel 50"/>
    <w:next w:val="style69"/>
    <w:rPr>
      <w:b/>
      <w:sz w:val="24"/>
    </w:rPr>
  </w:style>
  <w:style w:styleId="style70" w:type="character">
    <w:name w:val="ListLabel 51"/>
    <w:next w:val="style70"/>
    <w:rPr>
      <w:b w:val="false"/>
    </w:rPr>
  </w:style>
  <w:style w:styleId="style71" w:type="character">
    <w:name w:val="ListLabel 52"/>
    <w:next w:val="style71"/>
    <w:rPr>
      <w:rFonts w:cs="Times New Roman"/>
    </w:rPr>
  </w:style>
  <w:style w:styleId="style72" w:type="character">
    <w:name w:val="ListLabel 53"/>
    <w:next w:val="style72"/>
    <w:rPr>
      <w:rFonts w:cs="Courier New"/>
    </w:rPr>
  </w:style>
  <w:style w:styleId="style73" w:type="character">
    <w:name w:val="ListLabel 54"/>
    <w:next w:val="style73"/>
    <w:rPr>
      <w:rFonts w:cs="Wingdings"/>
    </w:rPr>
  </w:style>
  <w:style w:styleId="style74" w:type="character">
    <w:name w:val="ListLabel 55"/>
    <w:next w:val="style74"/>
    <w:rPr>
      <w:rFonts w:cs="Symbol"/>
    </w:rPr>
  </w:style>
  <w:style w:styleId="style75" w:type="character">
    <w:name w:val="ListLabel 56"/>
    <w:next w:val="style75"/>
    <w:rPr>
      <w:b/>
    </w:rPr>
  </w:style>
  <w:style w:styleId="style76" w:type="character">
    <w:name w:val="ListLabel 57"/>
    <w:next w:val="style76"/>
    <w:rPr>
      <w:b/>
      <w:sz w:val="24"/>
    </w:rPr>
  </w:style>
  <w:style w:styleId="style77" w:type="character">
    <w:name w:val="ListLabel 58"/>
    <w:next w:val="style77"/>
    <w:rPr>
      <w:b w:val="false"/>
    </w:rPr>
  </w:style>
  <w:style w:styleId="style78" w:type="character">
    <w:name w:val="ListLabel 59"/>
    <w:next w:val="style78"/>
    <w:rPr>
      <w:rFonts w:cs="Times New Roman"/>
    </w:rPr>
  </w:style>
  <w:style w:styleId="style79" w:type="character">
    <w:name w:val="ListLabel 60"/>
    <w:next w:val="style79"/>
    <w:rPr>
      <w:rFonts w:cs="Courier New"/>
    </w:rPr>
  </w:style>
  <w:style w:styleId="style80" w:type="character">
    <w:name w:val="ListLabel 61"/>
    <w:next w:val="style80"/>
    <w:rPr>
      <w:rFonts w:cs="Wingdings"/>
    </w:rPr>
  </w:style>
  <w:style w:styleId="style81" w:type="character">
    <w:name w:val="ListLabel 62"/>
    <w:next w:val="style81"/>
    <w:rPr>
      <w:rFonts w:cs="Symbol"/>
    </w:rPr>
  </w:style>
  <w:style w:styleId="style82" w:type="character">
    <w:name w:val="ListLabel 63"/>
    <w:next w:val="style82"/>
    <w:rPr>
      <w:b/>
    </w:rPr>
  </w:style>
  <w:style w:styleId="style83" w:type="character">
    <w:name w:val="ListLabel 64"/>
    <w:next w:val="style83"/>
    <w:rPr>
      <w:b/>
      <w:sz w:val="24"/>
    </w:rPr>
  </w:style>
  <w:style w:styleId="style84" w:type="character">
    <w:name w:val="ListLabel 65"/>
    <w:next w:val="style84"/>
    <w:rPr>
      <w:b w:val="false"/>
    </w:rPr>
  </w:style>
  <w:style w:styleId="style85" w:type="character">
    <w:name w:val="ListLabel 66"/>
    <w:next w:val="style85"/>
    <w:rPr>
      <w:rFonts w:cs="Times New Roman"/>
    </w:rPr>
  </w:style>
  <w:style w:styleId="style86" w:type="character">
    <w:name w:val="ListLabel 67"/>
    <w:next w:val="style86"/>
    <w:rPr>
      <w:rFonts w:cs="Courier New"/>
    </w:rPr>
  </w:style>
  <w:style w:styleId="style87" w:type="character">
    <w:name w:val="ListLabel 68"/>
    <w:next w:val="style87"/>
    <w:rPr>
      <w:rFonts w:cs="Wingdings"/>
    </w:rPr>
  </w:style>
  <w:style w:styleId="style88" w:type="character">
    <w:name w:val="ListLabel 69"/>
    <w:next w:val="style88"/>
    <w:rPr>
      <w:rFonts w:cs="Symbol"/>
    </w:rPr>
  </w:style>
  <w:style w:styleId="style89" w:type="character">
    <w:name w:val="ListLabel 70"/>
    <w:next w:val="style89"/>
    <w:rPr>
      <w:b/>
    </w:rPr>
  </w:style>
  <w:style w:styleId="style90" w:type="character">
    <w:name w:val="ListLabel 71"/>
    <w:next w:val="style90"/>
    <w:rPr>
      <w:b/>
      <w:sz w:val="24"/>
    </w:rPr>
  </w:style>
  <w:style w:styleId="style91" w:type="character">
    <w:name w:val="ListLabel 72"/>
    <w:next w:val="style91"/>
    <w:rPr>
      <w:b w:val="false"/>
    </w:rPr>
  </w:style>
  <w:style w:styleId="style92" w:type="character">
    <w:name w:val="ListLabel 73"/>
    <w:next w:val="style92"/>
    <w:rPr>
      <w:rFonts w:cs="Times New Roman"/>
    </w:rPr>
  </w:style>
  <w:style w:styleId="style93" w:type="character">
    <w:name w:val="ListLabel 74"/>
    <w:next w:val="style93"/>
    <w:rPr>
      <w:rFonts w:cs="Courier New"/>
    </w:rPr>
  </w:style>
  <w:style w:styleId="style94" w:type="character">
    <w:name w:val="ListLabel 75"/>
    <w:next w:val="style94"/>
    <w:rPr>
      <w:rFonts w:cs="Wingdings"/>
    </w:rPr>
  </w:style>
  <w:style w:styleId="style95" w:type="character">
    <w:name w:val="ListLabel 76"/>
    <w:next w:val="style95"/>
    <w:rPr>
      <w:rFonts w:cs="Symbol"/>
    </w:rPr>
  </w:style>
  <w:style w:styleId="style96" w:type="character">
    <w:name w:val="ListLabel 77"/>
    <w:next w:val="style96"/>
    <w:rPr>
      <w:b/>
    </w:rPr>
  </w:style>
  <w:style w:styleId="style97" w:type="character">
    <w:name w:val="ListLabel 78"/>
    <w:next w:val="style97"/>
    <w:rPr>
      <w:b/>
      <w:sz w:val="24"/>
    </w:rPr>
  </w:style>
  <w:style w:styleId="style98" w:type="character">
    <w:name w:val="ListLabel 79"/>
    <w:next w:val="style98"/>
    <w:rPr>
      <w:b w:val="false"/>
    </w:rPr>
  </w:style>
  <w:style w:styleId="style99" w:type="character">
    <w:name w:val="ListLabel 80"/>
    <w:next w:val="style99"/>
    <w:rPr>
      <w:rFonts w:cs="Times New Roman"/>
    </w:rPr>
  </w:style>
  <w:style w:styleId="style100" w:type="character">
    <w:name w:val="ListLabel 81"/>
    <w:next w:val="style100"/>
    <w:rPr>
      <w:rFonts w:cs="Courier New"/>
    </w:rPr>
  </w:style>
  <w:style w:styleId="style101" w:type="character">
    <w:name w:val="ListLabel 82"/>
    <w:next w:val="style101"/>
    <w:rPr>
      <w:rFonts w:cs="Wingdings"/>
    </w:rPr>
  </w:style>
  <w:style w:styleId="style102" w:type="character">
    <w:name w:val="ListLabel 83"/>
    <w:next w:val="style102"/>
    <w:rPr>
      <w:rFonts w:cs="Symbol"/>
    </w:rPr>
  </w:style>
  <w:style w:styleId="style103" w:type="character">
    <w:name w:val="ListLabel 84"/>
    <w:next w:val="style103"/>
    <w:rPr>
      <w:b/>
    </w:rPr>
  </w:style>
  <w:style w:styleId="style104" w:type="character">
    <w:name w:val="ListLabel 85"/>
    <w:next w:val="style104"/>
    <w:rPr>
      <w:b/>
      <w:sz w:val="24"/>
    </w:rPr>
  </w:style>
  <w:style w:styleId="style105" w:type="character">
    <w:name w:val="ListLabel 86"/>
    <w:next w:val="style105"/>
    <w:rPr>
      <w:b w:val="false"/>
    </w:rPr>
  </w:style>
  <w:style w:styleId="style106" w:type="character">
    <w:name w:val="ListLabel 87"/>
    <w:next w:val="style106"/>
    <w:rPr>
      <w:rFonts w:cs="Times New Roman"/>
    </w:rPr>
  </w:style>
  <w:style w:styleId="style107" w:type="character">
    <w:name w:val="ListLabel 88"/>
    <w:next w:val="style107"/>
    <w:rPr>
      <w:rFonts w:cs="Courier New"/>
    </w:rPr>
  </w:style>
  <w:style w:styleId="style108" w:type="character">
    <w:name w:val="ListLabel 89"/>
    <w:next w:val="style108"/>
    <w:rPr>
      <w:rFonts w:cs="Wingdings"/>
    </w:rPr>
  </w:style>
  <w:style w:styleId="style109" w:type="character">
    <w:name w:val="ListLabel 90"/>
    <w:next w:val="style109"/>
    <w:rPr>
      <w:rFonts w:cs="Symbol"/>
    </w:rPr>
  </w:style>
  <w:style w:styleId="style110" w:type="character">
    <w:name w:val="ListLabel 91"/>
    <w:next w:val="style110"/>
    <w:rPr>
      <w:b/>
    </w:rPr>
  </w:style>
  <w:style w:styleId="style111" w:type="character">
    <w:name w:val="ListLabel 92"/>
    <w:next w:val="style111"/>
    <w:rPr>
      <w:b/>
      <w:sz w:val="24"/>
    </w:rPr>
  </w:style>
  <w:style w:styleId="style112" w:type="character">
    <w:name w:val="ListLabel 93"/>
    <w:next w:val="style112"/>
    <w:rPr>
      <w:b w:val="false"/>
    </w:rPr>
  </w:style>
  <w:style w:styleId="style113" w:type="character">
    <w:name w:val="ListLabel 94"/>
    <w:next w:val="style113"/>
    <w:rPr>
      <w:rFonts w:cs="Times New Roman"/>
    </w:rPr>
  </w:style>
  <w:style w:styleId="style114" w:type="character">
    <w:name w:val="ListLabel 95"/>
    <w:next w:val="style114"/>
    <w:rPr>
      <w:rFonts w:cs="Courier New"/>
    </w:rPr>
  </w:style>
  <w:style w:styleId="style115" w:type="character">
    <w:name w:val="ListLabel 96"/>
    <w:next w:val="style115"/>
    <w:rPr>
      <w:rFonts w:cs="Wingdings"/>
    </w:rPr>
  </w:style>
  <w:style w:styleId="style116" w:type="character">
    <w:name w:val="ListLabel 97"/>
    <w:next w:val="style116"/>
    <w:rPr>
      <w:rFonts w:cs="Symbol"/>
    </w:rPr>
  </w:style>
  <w:style w:styleId="style117" w:type="character">
    <w:name w:val="ListLabel 98"/>
    <w:next w:val="style117"/>
    <w:rPr>
      <w:b/>
    </w:rPr>
  </w:style>
  <w:style w:styleId="style118" w:type="character">
    <w:name w:val="ListLabel 99"/>
    <w:next w:val="style118"/>
    <w:rPr>
      <w:b/>
      <w:sz w:val="24"/>
    </w:rPr>
  </w:style>
  <w:style w:styleId="style119" w:type="character">
    <w:name w:val="ListLabel 100"/>
    <w:next w:val="style119"/>
    <w:rPr>
      <w:b w:val="false"/>
    </w:rPr>
  </w:style>
  <w:style w:styleId="style120" w:type="character">
    <w:name w:val="ListLabel 101"/>
    <w:next w:val="style120"/>
    <w:rPr>
      <w:rFonts w:cs="Times New Roman"/>
    </w:rPr>
  </w:style>
  <w:style w:styleId="style121" w:type="character">
    <w:name w:val="ListLabel 102"/>
    <w:next w:val="style121"/>
    <w:rPr>
      <w:rFonts w:cs="Courier New"/>
    </w:rPr>
  </w:style>
  <w:style w:styleId="style122" w:type="character">
    <w:name w:val="ListLabel 103"/>
    <w:next w:val="style122"/>
    <w:rPr>
      <w:rFonts w:cs="Wingdings"/>
    </w:rPr>
  </w:style>
  <w:style w:styleId="style123" w:type="character">
    <w:name w:val="ListLabel 104"/>
    <w:next w:val="style123"/>
    <w:rPr>
      <w:rFonts w:cs="Symbol"/>
    </w:rPr>
  </w:style>
  <w:style w:styleId="style124" w:type="character">
    <w:name w:val="ListLabel 105"/>
    <w:next w:val="style124"/>
    <w:rPr>
      <w:rFonts w:cs="Times New Roman"/>
    </w:rPr>
  </w:style>
  <w:style w:styleId="style125" w:type="character">
    <w:name w:val="ListLabel 106"/>
    <w:next w:val="style125"/>
    <w:rPr>
      <w:rFonts w:cs="Times New Roman"/>
    </w:rPr>
  </w:style>
  <w:style w:styleId="style126" w:type="character">
    <w:name w:val="ListLabel 107"/>
    <w:next w:val="style126"/>
    <w:rPr>
      <w:rFonts w:cs="Times New Roman"/>
    </w:rPr>
  </w:style>
  <w:style w:styleId="style127" w:type="paragraph">
    <w:name w:val="Heading"/>
    <w:basedOn w:val="style0"/>
    <w:next w:val="style128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28" w:type="paragraph">
    <w:name w:val="Text body"/>
    <w:basedOn w:val="style0"/>
    <w:next w:val="style128"/>
    <w:pPr>
      <w:spacing w:after="120" w:before="0"/>
    </w:pPr>
    <w:rPr/>
  </w:style>
  <w:style w:styleId="style129" w:type="paragraph">
    <w:name w:val="List"/>
    <w:basedOn w:val="style128"/>
    <w:next w:val="style129"/>
    <w:pPr/>
    <w:rPr>
      <w:rFonts w:cs="Lohit Hindi"/>
    </w:rPr>
  </w:style>
  <w:style w:styleId="style130" w:type="paragraph">
    <w:name w:val="Caption"/>
    <w:basedOn w:val="style0"/>
    <w:next w:val="style13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31" w:type="paragraph">
    <w:name w:val="Index"/>
    <w:basedOn w:val="style0"/>
    <w:next w:val="style131"/>
    <w:pPr>
      <w:suppressLineNumbers/>
    </w:pPr>
    <w:rPr>
      <w:rFonts w:cs="Lohit Hindi"/>
    </w:rPr>
  </w:style>
  <w:style w:styleId="style132" w:type="paragraph">
    <w:name w:val="List Paragraph"/>
    <w:basedOn w:val="style0"/>
    <w:next w:val="style132"/>
    <w:pPr>
      <w:spacing w:after="0" w:before="0"/>
      <w:ind w:hanging="0" w:left="720" w:right="0"/>
    </w:pPr>
    <w:rPr/>
  </w:style>
  <w:style w:styleId="style133" w:type="paragraph">
    <w:name w:val="Header"/>
    <w:basedOn w:val="style0"/>
    <w:next w:val="style133"/>
    <w:pPr>
      <w:suppressLineNumbers/>
      <w:tabs>
        <w:tab w:leader="none" w:pos="4702" w:val="center"/>
        <w:tab w:leader="none" w:pos="9405" w:val="right"/>
      </w:tabs>
    </w:pPr>
    <w:rPr/>
  </w:style>
  <w:style w:styleId="style134" w:type="paragraph">
    <w:name w:val="Footer"/>
    <w:basedOn w:val="style0"/>
    <w:next w:val="style134"/>
    <w:pPr>
      <w:suppressLineNumbers/>
      <w:tabs>
        <w:tab w:leader="none" w:pos="4702" w:val="center"/>
        <w:tab w:leader="none" w:pos="9405" w:val="right"/>
      </w:tabs>
    </w:pPr>
    <w:rPr/>
  </w:style>
  <w:style w:styleId="style135" w:type="paragraph">
    <w:name w:val="Balloon Text"/>
    <w:basedOn w:val="style0"/>
    <w:next w:val="style135"/>
    <w:pPr/>
    <w:rPr>
      <w:rFonts w:ascii="Tahoma" w:cs="Tahoma" w:hAnsi="Tahoma"/>
      <w:sz w:val="16"/>
      <w:szCs w:val="16"/>
    </w:rPr>
  </w:style>
  <w:style w:styleId="style136" w:type="paragraph">
    <w:name w:val="Table Contents"/>
    <w:basedOn w:val="style0"/>
    <w:next w:val="style136"/>
    <w:pPr>
      <w:suppressLineNumbers/>
    </w:pPr>
    <w:rPr/>
  </w:style>
  <w:style w:styleId="style137" w:type="paragraph">
    <w:name w:val="Table Heading"/>
    <w:basedOn w:val="style136"/>
    <w:next w:val="style137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2014-02-12T11:07:00.00Z</dcterms:created>
  <dc:creator>Ljilja</dc:creator>
  <cp:lastPrinted>2014-06-06T11:30:03.00Z</cp:lastPrinted>
  <dcterms:modified xsi:type="dcterms:W3CDTF">2014-04-14T11:26:43.00Z</dcterms:modified>
  <cp:revision>3</cp:revision>
</cp:coreProperties>
</file>